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91A74" w:rsidRPr="008346E6" w:rsidRDefault="00591A74" w:rsidP="00806B9A">
      <w:pPr>
        <w:shd w:val="clear" w:color="auto" w:fill="FFFFFF" w:themeFill="background1"/>
        <w:contextualSpacing/>
        <w:jc w:val="both"/>
        <w:rPr>
          <w:rFonts w:ascii="Book Antiqua" w:eastAsia="Calibri" w:hAnsi="Book Antiqua"/>
          <w:color w:val="000000"/>
          <w:sz w:val="20"/>
          <w:szCs w:val="20"/>
          <w:lang w:val="es-PE"/>
        </w:rPr>
      </w:pPr>
      <w:r w:rsidRPr="008346E6">
        <w:rPr>
          <w:rFonts w:ascii="Book Antiqua" w:eastAsia="Calibri" w:hAnsi="Book Antiqua"/>
          <w:color w:val="000000"/>
          <w:sz w:val="20"/>
          <w:szCs w:val="20"/>
          <w:lang w:val="es-PE"/>
        </w:rPr>
        <w:t>Corte Suprema – Sala Penal Permanente</w:t>
      </w:r>
    </w:p>
    <w:p w:rsidR="00591A74" w:rsidRPr="008346E6" w:rsidRDefault="00591A74" w:rsidP="00806B9A">
      <w:pPr>
        <w:shd w:val="clear" w:color="auto" w:fill="FFFFFF" w:themeFill="background1"/>
        <w:contextualSpacing/>
        <w:jc w:val="both"/>
        <w:rPr>
          <w:rFonts w:ascii="Book Antiqua" w:eastAsia="Calibri" w:hAnsi="Book Antiqua"/>
          <w:color w:val="000000"/>
          <w:sz w:val="20"/>
          <w:szCs w:val="20"/>
          <w:lang w:val="es-PE"/>
        </w:rPr>
      </w:pPr>
      <w:r w:rsidRPr="008346E6">
        <w:rPr>
          <w:rFonts w:ascii="Book Antiqua" w:eastAsia="Calibri" w:hAnsi="Book Antiqua"/>
          <w:color w:val="000000"/>
          <w:sz w:val="20"/>
          <w:szCs w:val="20"/>
          <w:lang w:val="es-PE"/>
        </w:rPr>
        <w:t xml:space="preserve">Expediente: Casación </w:t>
      </w:r>
      <w:r w:rsidR="00806B9A" w:rsidRPr="008346E6">
        <w:rPr>
          <w:rFonts w:ascii="Book Antiqua" w:eastAsia="Calibri" w:hAnsi="Book Antiqua"/>
          <w:color w:val="000000"/>
          <w:sz w:val="20"/>
          <w:szCs w:val="20"/>
          <w:lang w:val="es-PE"/>
        </w:rPr>
        <w:t>14</w:t>
      </w:r>
      <w:r w:rsidR="008346E6" w:rsidRPr="008346E6">
        <w:rPr>
          <w:rFonts w:ascii="Book Antiqua" w:eastAsia="Calibri" w:hAnsi="Book Antiqua"/>
          <w:color w:val="000000"/>
          <w:sz w:val="20"/>
          <w:szCs w:val="20"/>
          <w:lang w:val="es-PE"/>
        </w:rPr>
        <w:t>7</w:t>
      </w:r>
      <w:r w:rsidRPr="008346E6">
        <w:rPr>
          <w:rFonts w:ascii="Book Antiqua" w:eastAsia="Calibri" w:hAnsi="Book Antiqua"/>
          <w:color w:val="000000"/>
          <w:sz w:val="20"/>
          <w:szCs w:val="20"/>
          <w:lang w:val="es-PE"/>
        </w:rPr>
        <w:t>-201</w:t>
      </w:r>
      <w:r w:rsidR="008346E6" w:rsidRPr="008346E6">
        <w:rPr>
          <w:rFonts w:ascii="Book Antiqua" w:eastAsia="Calibri" w:hAnsi="Book Antiqua"/>
          <w:color w:val="000000"/>
          <w:sz w:val="20"/>
          <w:szCs w:val="20"/>
          <w:lang w:val="es-PE"/>
        </w:rPr>
        <w:t>6</w:t>
      </w:r>
      <w:r w:rsidRPr="008346E6">
        <w:rPr>
          <w:rFonts w:ascii="Book Antiqua" w:eastAsia="Calibri" w:hAnsi="Book Antiqua"/>
          <w:color w:val="000000"/>
          <w:sz w:val="20"/>
          <w:szCs w:val="20"/>
          <w:lang w:val="es-PE"/>
        </w:rPr>
        <w:t xml:space="preserve"> </w:t>
      </w:r>
      <w:r w:rsidR="008346E6" w:rsidRPr="008346E6">
        <w:rPr>
          <w:rFonts w:ascii="Book Antiqua" w:eastAsia="Calibri" w:hAnsi="Book Antiqua"/>
          <w:color w:val="000000"/>
          <w:sz w:val="20"/>
          <w:szCs w:val="20"/>
          <w:lang w:val="es-PE"/>
        </w:rPr>
        <w:t>Lima</w:t>
      </w:r>
    </w:p>
    <w:p w:rsidR="00F5174B" w:rsidRDefault="00F5174B" w:rsidP="00591A74">
      <w:pPr>
        <w:contextualSpacing/>
        <w:jc w:val="both"/>
        <w:rPr>
          <w:rFonts w:ascii="Book Antiqua" w:eastAsia="Calibri" w:hAnsi="Book Antiqua"/>
          <w:bCs/>
          <w:color w:val="000000"/>
          <w:spacing w:val="5"/>
          <w:sz w:val="20"/>
          <w:szCs w:val="20"/>
          <w:lang w:val="es-PE"/>
        </w:rPr>
      </w:pPr>
      <w:r>
        <w:rPr>
          <w:rFonts w:ascii="Book Antiqua" w:eastAsia="Calibri" w:hAnsi="Book Antiqua"/>
          <w:bCs/>
          <w:color w:val="000000"/>
          <w:spacing w:val="5"/>
          <w:sz w:val="20"/>
          <w:szCs w:val="20"/>
          <w:lang w:val="es-PE"/>
        </w:rPr>
        <w:t>[</w:t>
      </w:r>
      <w:r w:rsidRPr="00F5174B">
        <w:rPr>
          <w:rFonts w:ascii="Book Antiqua" w:eastAsia="Calibri" w:hAnsi="Book Antiqua"/>
          <w:bCs/>
          <w:color w:val="000000"/>
          <w:spacing w:val="5"/>
          <w:sz w:val="20"/>
          <w:szCs w:val="20"/>
          <w:lang w:val="es-PE"/>
        </w:rPr>
        <w:t>Delitos contra la Administración Pública –Colusión y otros.</w:t>
      </w:r>
      <w:r>
        <w:rPr>
          <w:rFonts w:ascii="Book Antiqua" w:eastAsia="Calibri" w:hAnsi="Book Antiqua"/>
          <w:bCs/>
          <w:color w:val="000000"/>
          <w:spacing w:val="5"/>
          <w:sz w:val="20"/>
          <w:szCs w:val="20"/>
          <w:lang w:val="es-PE"/>
        </w:rPr>
        <w:t>]</w:t>
      </w:r>
    </w:p>
    <w:p w:rsidR="00591A74" w:rsidRPr="004C7962" w:rsidRDefault="00591A74" w:rsidP="00591A74">
      <w:pPr>
        <w:contextualSpacing/>
        <w:jc w:val="both"/>
        <w:rPr>
          <w:rFonts w:ascii="Book Antiqua" w:eastAsia="Calibri" w:hAnsi="Book Antiqua"/>
          <w:color w:val="000000"/>
          <w:sz w:val="20"/>
          <w:szCs w:val="20"/>
          <w:highlight w:val="yellow"/>
          <w:lang w:val="es-PE"/>
        </w:rPr>
      </w:pPr>
      <w:r w:rsidRPr="008346E6">
        <w:rPr>
          <w:rFonts w:ascii="Book Antiqua" w:eastAsia="Calibri" w:hAnsi="Book Antiqua"/>
          <w:color w:val="000000"/>
          <w:sz w:val="20"/>
          <w:szCs w:val="20"/>
          <w:lang w:val="es-PE"/>
        </w:rPr>
        <w:t>Fecha de vista de l</w:t>
      </w:r>
      <w:r w:rsidR="00806B9A" w:rsidRPr="008346E6">
        <w:rPr>
          <w:rFonts w:ascii="Book Antiqua" w:eastAsia="Calibri" w:hAnsi="Book Antiqua"/>
          <w:color w:val="000000"/>
          <w:sz w:val="20"/>
          <w:szCs w:val="20"/>
          <w:lang w:val="es-PE"/>
        </w:rPr>
        <w:t xml:space="preserve">a causa: 6 de </w:t>
      </w:r>
      <w:r w:rsidR="008346E6" w:rsidRPr="008346E6">
        <w:rPr>
          <w:rFonts w:ascii="Book Antiqua" w:eastAsia="Calibri" w:hAnsi="Book Antiqua"/>
          <w:color w:val="000000"/>
          <w:sz w:val="20"/>
          <w:szCs w:val="20"/>
          <w:lang w:val="es-PE"/>
        </w:rPr>
        <w:t>juli</w:t>
      </w:r>
      <w:r w:rsidR="00806B9A" w:rsidRPr="008346E6">
        <w:rPr>
          <w:rFonts w:ascii="Book Antiqua" w:eastAsia="Calibri" w:hAnsi="Book Antiqua"/>
          <w:color w:val="000000"/>
          <w:sz w:val="20"/>
          <w:szCs w:val="20"/>
          <w:lang w:val="es-PE"/>
        </w:rPr>
        <w:t>o de 2016</w:t>
      </w:r>
    </w:p>
    <w:p w:rsidR="00591A74" w:rsidRPr="00000E1C" w:rsidRDefault="00591A74" w:rsidP="00591A74">
      <w:pPr>
        <w:contextualSpacing/>
        <w:jc w:val="both"/>
        <w:rPr>
          <w:rFonts w:ascii="Book Antiqua" w:eastAsia="Calibri" w:hAnsi="Book Antiqua"/>
          <w:color w:val="000000"/>
          <w:sz w:val="20"/>
          <w:szCs w:val="20"/>
          <w:lang w:val="es-PE"/>
        </w:rPr>
      </w:pPr>
      <w:r w:rsidRPr="00000E1C">
        <w:rPr>
          <w:rFonts w:ascii="Book Antiqua" w:eastAsia="Calibri" w:hAnsi="Book Antiqua"/>
          <w:color w:val="000000"/>
          <w:sz w:val="20"/>
          <w:szCs w:val="20"/>
          <w:lang w:val="es-PE"/>
        </w:rPr>
        <w:t xml:space="preserve">Fecha de publicación en El Peruano: </w:t>
      </w:r>
      <w:r w:rsidR="00000E1C" w:rsidRPr="00000E1C">
        <w:rPr>
          <w:rFonts w:ascii="Book Antiqua" w:eastAsia="Calibri" w:hAnsi="Book Antiqua"/>
          <w:color w:val="000000"/>
          <w:sz w:val="20"/>
          <w:szCs w:val="20"/>
          <w:lang w:val="es-PE"/>
        </w:rPr>
        <w:t>03</w:t>
      </w:r>
      <w:r w:rsidR="00147030" w:rsidRPr="00000E1C">
        <w:rPr>
          <w:rFonts w:ascii="Book Antiqua" w:eastAsia="Calibri" w:hAnsi="Book Antiqua"/>
          <w:color w:val="000000"/>
          <w:sz w:val="20"/>
          <w:szCs w:val="20"/>
          <w:lang w:val="es-PE"/>
        </w:rPr>
        <w:t xml:space="preserve"> de </w:t>
      </w:r>
      <w:r w:rsidR="00000E1C" w:rsidRPr="00000E1C">
        <w:rPr>
          <w:rFonts w:ascii="Book Antiqua" w:eastAsia="Calibri" w:hAnsi="Book Antiqua"/>
          <w:color w:val="000000"/>
          <w:sz w:val="20"/>
          <w:szCs w:val="20"/>
          <w:lang w:val="es-PE"/>
        </w:rPr>
        <w:t>agosto de 2016</w:t>
      </w:r>
    </w:p>
    <w:p w:rsidR="00591A74" w:rsidRPr="004C7962" w:rsidRDefault="00591A74" w:rsidP="00591A74">
      <w:pPr>
        <w:contextualSpacing/>
        <w:jc w:val="both"/>
        <w:rPr>
          <w:rFonts w:ascii="Book Antiqua" w:hAnsi="Book Antiqua"/>
          <w:sz w:val="20"/>
          <w:szCs w:val="20"/>
          <w:highlight w:val="yellow"/>
        </w:rPr>
      </w:pPr>
    </w:p>
    <w:p w:rsidR="00591A74" w:rsidRPr="004C7962" w:rsidRDefault="00591A74" w:rsidP="00591A74">
      <w:pPr>
        <w:contextualSpacing/>
        <w:jc w:val="both"/>
        <w:rPr>
          <w:rFonts w:ascii="Book Antiqua" w:hAnsi="Book Antiqua"/>
          <w:sz w:val="20"/>
          <w:szCs w:val="20"/>
          <w:highlight w:val="yellow"/>
        </w:rPr>
      </w:pPr>
      <w:r w:rsidRPr="004C7962">
        <w:rPr>
          <w:rFonts w:ascii="Book Antiqua" w:hAnsi="Book Antiqua"/>
          <w:noProof/>
          <w:sz w:val="20"/>
          <w:szCs w:val="20"/>
          <w:highlight w:val="yellow"/>
          <w:lang w:val="es-PE" w:eastAsia="es-PE"/>
        </w:rPr>
        <mc:AlternateContent>
          <mc:Choice Requires="wps">
            <w:drawing>
              <wp:anchor distT="0" distB="0" distL="114300" distR="114300" simplePos="0" relativeHeight="251659264" behindDoc="0" locked="0" layoutInCell="1" allowOverlap="1" wp14:anchorId="5357D809" wp14:editId="6C07B705">
                <wp:simplePos x="0" y="0"/>
                <wp:positionH relativeFrom="column">
                  <wp:posOffset>12700</wp:posOffset>
                </wp:positionH>
                <wp:positionV relativeFrom="paragraph">
                  <wp:posOffset>110490</wp:posOffset>
                </wp:positionV>
                <wp:extent cx="4500880" cy="635"/>
                <wp:effectExtent l="16510" t="16510" r="45085" b="40005"/>
                <wp:wrapNone/>
                <wp:docPr id="8" name="Conector: angular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500880" cy="635"/>
                        </a:xfrm>
                        <a:prstGeom prst="bentConnector3">
                          <a:avLst>
                            <a:gd name="adj1" fmla="val 50000"/>
                          </a:avLst>
                        </a:prstGeom>
                        <a:noFill/>
                        <a:ln w="28575">
                          <a:solidFill>
                            <a:srgbClr val="000000"/>
                          </a:solidFill>
                          <a:miter lim="800000"/>
                          <a:headEnd/>
                          <a:tailEnd/>
                        </a:ln>
                        <a:effectLst>
                          <a:outerShdw dist="35921" dir="2700000" algn="ctr" rotWithShape="0">
                            <a:srgbClr val="808080"/>
                          </a:outerShdw>
                        </a:effectLst>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455272C9" id="_x0000_t34" coordsize="21600,21600" o:spt="34" o:oned="t" adj="10800" path="m,l@0,0@0,21600,21600,21600e" filled="f">
                <v:stroke joinstyle="miter"/>
                <v:formulas>
                  <v:f eqn="val #0"/>
                </v:formulas>
                <v:path arrowok="t" fillok="f" o:connecttype="none"/>
                <v:handles>
                  <v:h position="#0,center"/>
                </v:handles>
                <o:lock v:ext="edit" shapetype="t"/>
              </v:shapetype>
              <v:shape id="Conector: angular 8" o:spid="_x0000_s1026" type="#_x0000_t34" style="position:absolute;margin-left:1pt;margin-top:8.7pt;width:354.4pt;height:.0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" strokeweight="2.25pt">
                <v:shadow on="t"/>
              </v:shape>
            </w:pict>
          </mc:Fallback>
        </mc:AlternateContent>
      </w:r>
    </w:p>
    <w:p w:rsidR="00591A74" w:rsidRPr="004C7962" w:rsidRDefault="00591A74" w:rsidP="00591A74">
      <w:pPr>
        <w:contextualSpacing/>
        <w:jc w:val="both"/>
        <w:rPr>
          <w:rFonts w:ascii="Book Antiqua" w:hAnsi="Book Antiqua"/>
          <w:sz w:val="20"/>
          <w:szCs w:val="20"/>
          <w:highlight w:val="yellow"/>
        </w:rPr>
      </w:pPr>
      <w:r w:rsidRPr="004C7962">
        <w:rPr>
          <w:rFonts w:ascii="Book Antiqua" w:hAnsi="Book Antiqua"/>
          <w:noProof/>
          <w:sz w:val="20"/>
          <w:szCs w:val="20"/>
          <w:highlight w:val="yellow"/>
          <w:lang w:val="es-PE" w:eastAsia="es-PE"/>
        </w:rPr>
        <mc:AlternateContent>
          <mc:Choice Requires="wps">
            <w:drawing>
              <wp:anchor distT="0" distB="0" distL="114300" distR="114300" simplePos="0" relativeHeight="251660288" behindDoc="0" locked="0" layoutInCell="1" allowOverlap="1" wp14:anchorId="7F052E47" wp14:editId="04CD568D">
                <wp:simplePos x="0" y="0"/>
                <wp:positionH relativeFrom="column">
                  <wp:posOffset>13779</wp:posOffset>
                </wp:positionH>
                <wp:positionV relativeFrom="paragraph">
                  <wp:posOffset>114148</wp:posOffset>
                </wp:positionV>
                <wp:extent cx="4471023" cy="1284648"/>
                <wp:effectExtent l="0" t="0" r="25400" b="10795"/>
                <wp:wrapNone/>
                <wp:docPr id="7" name="Rectángulo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471023" cy="1284648"/>
                        </a:xfrm>
                        <a:prstGeom prst="rect">
                          <a:avLst/>
                        </a:prstGeom>
                        <a:solidFill>
                          <a:srgbClr val="FFFFFF"/>
                        </a:solidFill>
                        <a:ln w="9525">
                          <a:solidFill>
                            <a:srgbClr val="000000"/>
                          </a:solidFill>
                          <a:miter lim="800000"/>
                          <a:headEnd/>
                          <a:tailEnd/>
                        </a:ln>
                      </wps:spPr>
                      <wps:txbx>
                        <w:txbxContent>
                          <w:p w:rsidR="004D0A63" w:rsidRPr="00F5174B" w:rsidRDefault="00F5174B" w:rsidP="00591A74">
                            <w:pPr>
                              <w:autoSpaceDE w:val="0"/>
                              <w:autoSpaceDN w:val="0"/>
                              <w:adjustRightInd w:val="0"/>
                              <w:spacing w:after="0"/>
                              <w:jc w:val="center"/>
                              <w:rPr>
                                <w:rStyle w:val="Referenciaintensa1"/>
                                <w:rFonts w:ascii="Book Antiqua" w:hAnsi="Book Antiqua"/>
                                <w:color w:val="000000"/>
                              </w:rPr>
                            </w:pPr>
                            <w:r w:rsidRPr="00F5174B">
                              <w:rPr>
                                <w:rStyle w:val="Referenciaintensa1"/>
                                <w:rFonts w:ascii="Book Antiqua" w:hAnsi="Book Antiqua"/>
                                <w:color w:val="000000"/>
                              </w:rPr>
                              <w:t>PRISIÓN PREVENTIVA Y CONGRUENCIA PROCESAL</w:t>
                            </w:r>
                          </w:p>
                          <w:p w:rsidR="00FF7E94" w:rsidRPr="004C7962" w:rsidRDefault="00FF7E94" w:rsidP="00591A74">
                            <w:pPr>
                              <w:autoSpaceDE w:val="0"/>
                              <w:autoSpaceDN w:val="0"/>
                              <w:adjustRightInd w:val="0"/>
                              <w:spacing w:after="0"/>
                              <w:jc w:val="both"/>
                              <w:rPr>
                                <w:rFonts w:ascii="Book Antiqua" w:hAnsi="Book Antiqua"/>
                                <w:sz w:val="20"/>
                                <w:szCs w:val="20"/>
                                <w:highlight w:val="yellow"/>
                              </w:rPr>
                            </w:pPr>
                          </w:p>
                          <w:p w:rsidR="00050288" w:rsidRPr="003E380F" w:rsidRDefault="00F5174B" w:rsidP="00591A74">
                            <w:pPr>
                              <w:autoSpaceDE w:val="0"/>
                              <w:autoSpaceDN w:val="0"/>
                              <w:adjustRightInd w:val="0"/>
                              <w:spacing w:after="0"/>
                              <w:jc w:val="both"/>
                              <w:rPr>
                                <w:rStyle w:val="Referenciaintensa"/>
                                <w:rFonts w:ascii="Book Antiqua" w:hAnsi="Book Antiqua"/>
                                <w:color w:val="000000"/>
                                <w:sz w:val="20"/>
                                <w:szCs w:val="20"/>
                              </w:rPr>
                            </w:pPr>
                            <w:r>
                              <w:rPr>
                                <w:rFonts w:ascii="Book Antiqua" w:hAnsi="Book Antiqua"/>
                                <w:sz w:val="20"/>
                                <w:szCs w:val="20"/>
                              </w:rPr>
                              <w:t>Se pronuncian en el caso de la prisión preventiva en relación a la inexistencia de la prórroga y los requisitos de su prolongación, asimismo, sobre la interpretación de la congruencia en el recurso de apelación.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F052E47" id="Rectángulo 7" o:spid="_x0000_s1026" style="position:absolute;left:0;text-align:left;margin-left:1.1pt;margin-top:9pt;width:352.05pt;height:101.1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">
                <v:textbox>
                  <w:txbxContent>
                    <w:p w:rsidR="004D0A63" w:rsidRPr="00F5174B" w:rsidRDefault="00F5174B" w:rsidP="00591A74">
                      <w:pPr>
                        <w:autoSpaceDE w:val="0"/>
                        <w:autoSpaceDN w:val="0"/>
                        <w:adjustRightInd w:val="0"/>
                        <w:spacing w:after="0"/>
                        <w:jc w:val="center"/>
                        <w:rPr>
                          <w:rStyle w:val="Referenciaintensa1"/>
                          <w:rFonts w:ascii="Book Antiqua" w:hAnsi="Book Antiqua"/>
                          <w:color w:val="000000"/>
                        </w:rPr>
                      </w:pPr>
                      <w:r w:rsidRPr="00F5174B">
                        <w:rPr>
                          <w:rStyle w:val="Referenciaintensa1"/>
                          <w:rFonts w:ascii="Book Antiqua" w:hAnsi="Book Antiqua"/>
                          <w:color w:val="000000"/>
                        </w:rPr>
                        <w:t>PRISIÓN PREVENTIVA Y CONGRUENCIA PROCESAL</w:t>
                      </w:r>
                    </w:p>
                    <w:p w:rsidR="00FF7E94" w:rsidRPr="004C7962" w:rsidRDefault="00FF7E94" w:rsidP="00591A74">
                      <w:pPr>
                        <w:autoSpaceDE w:val="0"/>
                        <w:autoSpaceDN w:val="0"/>
                        <w:adjustRightInd w:val="0"/>
                        <w:spacing w:after="0"/>
                        <w:jc w:val="both"/>
                        <w:rPr>
                          <w:rFonts w:ascii="Book Antiqua" w:hAnsi="Book Antiqua"/>
                          <w:sz w:val="20"/>
                          <w:szCs w:val="20"/>
                          <w:highlight w:val="yellow"/>
                        </w:rPr>
                      </w:pPr>
                    </w:p>
                    <w:p w:rsidR="00050288" w:rsidRPr="003E380F" w:rsidRDefault="00F5174B" w:rsidP="00591A74">
                      <w:pPr>
                        <w:autoSpaceDE w:val="0"/>
                        <w:autoSpaceDN w:val="0"/>
                        <w:adjustRightInd w:val="0"/>
                        <w:spacing w:after="0"/>
                        <w:jc w:val="both"/>
                        <w:rPr>
                          <w:rStyle w:val="Referenciaintensa"/>
                          <w:rFonts w:ascii="Book Antiqua" w:hAnsi="Book Antiqua"/>
                          <w:color w:val="000000"/>
                          <w:sz w:val="20"/>
                          <w:szCs w:val="20"/>
                        </w:rPr>
                      </w:pPr>
                      <w:r>
                        <w:rPr>
                          <w:rFonts w:ascii="Book Antiqua" w:hAnsi="Book Antiqua"/>
                          <w:sz w:val="20"/>
                          <w:szCs w:val="20"/>
                        </w:rPr>
                        <w:t>Se pronuncian en el caso</w:t>
                      </w:r>
                      <w:bookmarkStart w:id="1" w:name="_GoBack"/>
                      <w:bookmarkEnd w:id="1"/>
                      <w:r>
                        <w:rPr>
                          <w:rFonts w:ascii="Book Antiqua" w:hAnsi="Book Antiqua"/>
                          <w:sz w:val="20"/>
                          <w:szCs w:val="20"/>
                        </w:rPr>
                        <w:t xml:space="preserve"> de la prisión preventiva en relación a la inexistencia de la prórroga y los requisitos de su prolongación, asimismo, sobre la interpretación de la congruencia en el recurso de apelación.</w:t>
                      </w:r>
                    </w:p>
                  </w:txbxContent>
                </v:textbox>
              </v:rect>
            </w:pict>
          </mc:Fallback>
        </mc:AlternateContent>
      </w:r>
    </w:p>
    <w:p w:rsidR="00591A74" w:rsidRPr="004C7962" w:rsidRDefault="00591A74" w:rsidP="00591A74">
      <w:pPr>
        <w:jc w:val="both"/>
        <w:rPr>
          <w:rFonts w:ascii="Book Antiqua" w:hAnsi="Book Antiqua"/>
          <w:sz w:val="20"/>
          <w:szCs w:val="20"/>
          <w:highlight w:val="yellow"/>
        </w:rPr>
      </w:pPr>
    </w:p>
    <w:p w:rsidR="00591A74" w:rsidRPr="004C7962" w:rsidRDefault="00591A74" w:rsidP="00591A74">
      <w:pPr>
        <w:jc w:val="both"/>
        <w:rPr>
          <w:rFonts w:ascii="Book Antiqua" w:hAnsi="Book Antiqua"/>
          <w:sz w:val="20"/>
          <w:szCs w:val="20"/>
          <w:highlight w:val="yellow"/>
        </w:rPr>
      </w:pPr>
    </w:p>
    <w:p w:rsidR="00591A74" w:rsidRPr="004C7962" w:rsidRDefault="00591A74" w:rsidP="00591A74">
      <w:pPr>
        <w:jc w:val="both"/>
        <w:rPr>
          <w:rFonts w:ascii="Book Antiqua" w:hAnsi="Book Antiqua"/>
          <w:sz w:val="20"/>
          <w:szCs w:val="20"/>
          <w:highlight w:val="yellow"/>
        </w:rPr>
      </w:pPr>
    </w:p>
    <w:p w:rsidR="00591A74" w:rsidRPr="004C7962" w:rsidRDefault="00591A74" w:rsidP="00591A74">
      <w:pPr>
        <w:jc w:val="both"/>
        <w:rPr>
          <w:rFonts w:ascii="Book Antiqua" w:hAnsi="Book Antiqua"/>
          <w:sz w:val="20"/>
          <w:szCs w:val="20"/>
          <w:highlight w:val="yellow"/>
        </w:rPr>
      </w:pPr>
    </w:p>
    <w:p w:rsidR="00591A74" w:rsidRPr="004C7962" w:rsidRDefault="00591A74" w:rsidP="00591A74">
      <w:pPr>
        <w:jc w:val="both"/>
        <w:rPr>
          <w:rFonts w:ascii="Book Antiqua" w:hAnsi="Book Antiqua"/>
          <w:sz w:val="20"/>
          <w:szCs w:val="20"/>
          <w:highlight w:val="yellow"/>
        </w:rPr>
      </w:pPr>
    </w:p>
    <w:p w:rsidR="00591A74" w:rsidRPr="00666FD7" w:rsidRDefault="00591A74" w:rsidP="00591A74">
      <w:pPr>
        <w:tabs>
          <w:tab w:val="left" w:pos="0"/>
        </w:tabs>
        <w:jc w:val="both"/>
        <w:rPr>
          <w:rFonts w:ascii="Book Antiqua" w:hAnsi="Book Antiqua"/>
          <w:b/>
          <w:bCs/>
          <w:smallCaps/>
          <w:spacing w:val="5"/>
          <w:sz w:val="20"/>
          <w:szCs w:val="20"/>
        </w:rPr>
      </w:pPr>
    </w:p>
    <w:p w:rsidR="00591A74" w:rsidRPr="00666FD7" w:rsidRDefault="00591A74" w:rsidP="00591A74">
      <w:pPr>
        <w:tabs>
          <w:tab w:val="left" w:pos="0"/>
        </w:tabs>
        <w:jc w:val="both"/>
        <w:rPr>
          <w:rFonts w:ascii="Book Antiqua" w:hAnsi="Book Antiqua"/>
          <w:b/>
          <w:bCs/>
          <w:smallCaps/>
          <w:spacing w:val="5"/>
          <w:sz w:val="20"/>
          <w:szCs w:val="20"/>
        </w:rPr>
      </w:pPr>
      <w:r w:rsidRPr="00666FD7">
        <w:rPr>
          <w:rFonts w:ascii="Book Antiqua" w:hAnsi="Book Antiqua"/>
          <w:b/>
          <w:bCs/>
          <w:smallCaps/>
          <w:spacing w:val="5"/>
          <w:sz w:val="20"/>
          <w:szCs w:val="20"/>
        </w:rPr>
        <w:t>[Datos generales del proceso]</w:t>
      </w:r>
    </w:p>
    <w:p w:rsidR="00591A74" w:rsidRPr="00F5174B" w:rsidRDefault="00591A74" w:rsidP="00591A74">
      <w:pPr>
        <w:tabs>
          <w:tab w:val="left" w:pos="1418"/>
        </w:tabs>
        <w:contextualSpacing/>
        <w:jc w:val="both"/>
        <w:rPr>
          <w:rFonts w:ascii="Book Antiqua" w:eastAsia="Calibri" w:hAnsi="Book Antiqua"/>
          <w:b/>
          <w:color w:val="000000"/>
          <w:sz w:val="20"/>
          <w:szCs w:val="20"/>
          <w:lang w:val="es-PE"/>
        </w:rPr>
      </w:pPr>
      <w:r w:rsidRPr="00F5174B">
        <w:rPr>
          <w:rFonts w:ascii="Book Antiqua" w:hAnsi="Book Antiqua"/>
          <w:b/>
          <w:bCs/>
          <w:smallCaps/>
          <w:spacing w:val="5"/>
          <w:sz w:val="20"/>
          <w:szCs w:val="20"/>
        </w:rPr>
        <w:t>Recurso</w:t>
      </w:r>
      <w:r w:rsidRPr="00F5174B">
        <w:rPr>
          <w:rFonts w:ascii="Book Antiqua" w:hAnsi="Book Antiqua"/>
          <w:b/>
          <w:bCs/>
          <w:smallCaps/>
          <w:spacing w:val="5"/>
          <w:sz w:val="20"/>
          <w:szCs w:val="20"/>
        </w:rPr>
        <w:tab/>
        <w:t xml:space="preserve">: </w:t>
      </w:r>
      <w:r w:rsidR="00FF7E94" w:rsidRPr="00F5174B">
        <w:rPr>
          <w:rFonts w:ascii="Book Antiqua" w:hAnsi="Book Antiqua"/>
          <w:b/>
          <w:bCs/>
          <w:smallCaps/>
          <w:spacing w:val="5"/>
          <w:sz w:val="20"/>
          <w:szCs w:val="20"/>
        </w:rPr>
        <w:tab/>
      </w:r>
      <w:r w:rsidRPr="00F5174B">
        <w:rPr>
          <w:rFonts w:ascii="Book Antiqua" w:eastAsia="Calibri" w:hAnsi="Book Antiqua"/>
          <w:bCs/>
          <w:color w:val="000000"/>
          <w:spacing w:val="5"/>
          <w:sz w:val="20"/>
          <w:szCs w:val="20"/>
          <w:lang w:val="es-PE"/>
        </w:rPr>
        <w:t>Casación</w:t>
      </w:r>
    </w:p>
    <w:p w:rsidR="00591A74" w:rsidRPr="00F5174B" w:rsidRDefault="00591A74" w:rsidP="00591A74">
      <w:pPr>
        <w:tabs>
          <w:tab w:val="left" w:pos="1418"/>
        </w:tabs>
        <w:autoSpaceDE w:val="0"/>
        <w:autoSpaceDN w:val="0"/>
        <w:adjustRightInd w:val="0"/>
        <w:spacing w:after="0"/>
        <w:jc w:val="both"/>
        <w:rPr>
          <w:rFonts w:ascii="Book Antiqua" w:hAnsi="Book Antiqua"/>
          <w:sz w:val="20"/>
          <w:szCs w:val="20"/>
          <w:lang w:val="pt-BR"/>
        </w:rPr>
      </w:pPr>
      <w:proofErr w:type="spellStart"/>
      <w:r w:rsidRPr="00F5174B">
        <w:rPr>
          <w:rFonts w:ascii="Book Antiqua" w:hAnsi="Book Antiqua"/>
          <w:b/>
          <w:bCs/>
          <w:smallCaps/>
          <w:spacing w:val="5"/>
          <w:sz w:val="20"/>
          <w:szCs w:val="20"/>
          <w:lang w:val="pt-BR"/>
        </w:rPr>
        <w:t>Recurrente</w:t>
      </w:r>
      <w:proofErr w:type="spellEnd"/>
      <w:r w:rsidRPr="00F5174B">
        <w:rPr>
          <w:rFonts w:ascii="Book Antiqua" w:hAnsi="Book Antiqua"/>
          <w:b/>
          <w:bCs/>
          <w:smallCaps/>
          <w:spacing w:val="5"/>
          <w:sz w:val="20"/>
          <w:szCs w:val="20"/>
          <w:lang w:val="pt-BR"/>
        </w:rPr>
        <w:tab/>
        <w:t>:</w:t>
      </w:r>
      <w:r w:rsidR="00F56128" w:rsidRPr="00F5174B">
        <w:rPr>
          <w:rFonts w:ascii="Book Antiqua" w:hAnsi="Book Antiqua"/>
          <w:b/>
          <w:bCs/>
          <w:smallCaps/>
          <w:spacing w:val="5"/>
          <w:sz w:val="20"/>
          <w:szCs w:val="20"/>
          <w:lang w:val="pt-BR"/>
        </w:rPr>
        <w:tab/>
      </w:r>
      <w:proofErr w:type="spellStart"/>
      <w:r w:rsidR="008346E6" w:rsidRPr="00F5174B">
        <w:rPr>
          <w:rFonts w:ascii="Book Antiqua" w:hAnsi="Book Antiqua"/>
          <w:sz w:val="20"/>
          <w:szCs w:val="20"/>
          <w:lang w:val="pt-BR"/>
        </w:rPr>
        <w:t>Ministerio</w:t>
      </w:r>
      <w:proofErr w:type="spellEnd"/>
      <w:r w:rsidR="008346E6" w:rsidRPr="00F5174B">
        <w:rPr>
          <w:rFonts w:ascii="Book Antiqua" w:hAnsi="Book Antiqua"/>
          <w:sz w:val="20"/>
          <w:szCs w:val="20"/>
          <w:lang w:val="pt-BR"/>
        </w:rPr>
        <w:t xml:space="preserve"> Público</w:t>
      </w:r>
    </w:p>
    <w:p w:rsidR="00F56128" w:rsidRPr="00F5174B" w:rsidRDefault="00F56128" w:rsidP="00591A74">
      <w:pPr>
        <w:tabs>
          <w:tab w:val="left" w:pos="1418"/>
        </w:tabs>
        <w:autoSpaceDE w:val="0"/>
        <w:autoSpaceDN w:val="0"/>
        <w:adjustRightInd w:val="0"/>
        <w:spacing w:after="0"/>
        <w:jc w:val="both"/>
        <w:rPr>
          <w:rFonts w:ascii="Book Antiqua" w:hAnsi="Book Antiqua"/>
          <w:b/>
          <w:bCs/>
          <w:spacing w:val="5"/>
          <w:sz w:val="20"/>
          <w:szCs w:val="20"/>
          <w:lang w:val="pt-BR"/>
        </w:rPr>
      </w:pPr>
      <w:r w:rsidRPr="00F5174B">
        <w:rPr>
          <w:rFonts w:ascii="Book Antiqua" w:hAnsi="Book Antiqua"/>
          <w:sz w:val="20"/>
          <w:szCs w:val="20"/>
          <w:lang w:val="pt-BR"/>
        </w:rPr>
        <w:tab/>
      </w:r>
      <w:r w:rsidRPr="00F5174B">
        <w:rPr>
          <w:rFonts w:ascii="Book Antiqua" w:hAnsi="Book Antiqua"/>
          <w:sz w:val="20"/>
          <w:szCs w:val="20"/>
          <w:lang w:val="pt-BR"/>
        </w:rPr>
        <w:tab/>
      </w:r>
      <w:proofErr w:type="spellStart"/>
      <w:r w:rsidR="00666FD7" w:rsidRPr="00F5174B">
        <w:rPr>
          <w:rFonts w:ascii="Book Antiqua" w:hAnsi="Book Antiqua"/>
          <w:sz w:val="20"/>
          <w:szCs w:val="20"/>
          <w:lang w:val="pt-BR"/>
        </w:rPr>
        <w:t>Greg</w:t>
      </w:r>
      <w:r w:rsidR="00F85FA8" w:rsidRPr="00F5174B">
        <w:rPr>
          <w:rFonts w:ascii="Book Antiqua" w:hAnsi="Book Antiqua"/>
          <w:sz w:val="20"/>
          <w:szCs w:val="20"/>
          <w:lang w:val="pt-BR"/>
        </w:rPr>
        <w:t>o</w:t>
      </w:r>
      <w:r w:rsidR="00666FD7" w:rsidRPr="00F5174B">
        <w:rPr>
          <w:rFonts w:ascii="Book Antiqua" w:hAnsi="Book Antiqua"/>
          <w:sz w:val="20"/>
          <w:szCs w:val="20"/>
          <w:lang w:val="pt-BR"/>
        </w:rPr>
        <w:t>rio</w:t>
      </w:r>
      <w:proofErr w:type="spellEnd"/>
      <w:r w:rsidR="00666FD7" w:rsidRPr="00F5174B">
        <w:rPr>
          <w:rFonts w:ascii="Book Antiqua" w:hAnsi="Book Antiqua"/>
          <w:sz w:val="20"/>
          <w:szCs w:val="20"/>
          <w:lang w:val="pt-BR"/>
        </w:rPr>
        <w:t xml:space="preserve"> Santos Guerrero</w:t>
      </w:r>
    </w:p>
    <w:p w:rsidR="00F56128" w:rsidRPr="00F5174B" w:rsidRDefault="00591A74" w:rsidP="00F56128">
      <w:pPr>
        <w:tabs>
          <w:tab w:val="left" w:pos="1418"/>
        </w:tabs>
        <w:autoSpaceDE w:val="0"/>
        <w:autoSpaceDN w:val="0"/>
        <w:adjustRightInd w:val="0"/>
        <w:spacing w:after="0"/>
        <w:jc w:val="both"/>
        <w:rPr>
          <w:rFonts w:ascii="Book Antiqua" w:hAnsi="Book Antiqua"/>
          <w:sz w:val="20"/>
          <w:szCs w:val="20"/>
        </w:rPr>
      </w:pPr>
      <w:r w:rsidRPr="00F5174B">
        <w:rPr>
          <w:rFonts w:ascii="Book Antiqua" w:hAnsi="Book Antiqua"/>
          <w:b/>
          <w:bCs/>
          <w:smallCaps/>
          <w:spacing w:val="5"/>
          <w:sz w:val="20"/>
          <w:szCs w:val="20"/>
        </w:rPr>
        <w:t>Procesado</w:t>
      </w:r>
      <w:r w:rsidRPr="00F5174B">
        <w:rPr>
          <w:rFonts w:ascii="Book Antiqua" w:hAnsi="Book Antiqua"/>
          <w:b/>
          <w:bCs/>
          <w:smallCaps/>
          <w:spacing w:val="5"/>
          <w:sz w:val="20"/>
          <w:szCs w:val="20"/>
        </w:rPr>
        <w:tab/>
        <w:t>:</w:t>
      </w:r>
      <w:r w:rsidR="00F56128" w:rsidRPr="00F5174B">
        <w:rPr>
          <w:rFonts w:ascii="Book Antiqua" w:hAnsi="Book Antiqua"/>
          <w:b/>
          <w:bCs/>
          <w:smallCaps/>
          <w:spacing w:val="5"/>
          <w:sz w:val="20"/>
          <w:szCs w:val="20"/>
        </w:rPr>
        <w:tab/>
      </w:r>
      <w:r w:rsidR="00F85FA8" w:rsidRPr="00000E1C">
        <w:rPr>
          <w:rFonts w:ascii="Book Antiqua" w:hAnsi="Book Antiqua"/>
          <w:sz w:val="20"/>
          <w:szCs w:val="20"/>
          <w:lang w:val="es-PE"/>
        </w:rPr>
        <w:t>Gregorio Santos Guerrero y otros</w:t>
      </w:r>
    </w:p>
    <w:p w:rsidR="00591A74" w:rsidRPr="00F5174B" w:rsidRDefault="00591A74" w:rsidP="00591A74">
      <w:pPr>
        <w:tabs>
          <w:tab w:val="left" w:pos="1418"/>
        </w:tabs>
        <w:autoSpaceDE w:val="0"/>
        <w:autoSpaceDN w:val="0"/>
        <w:adjustRightInd w:val="0"/>
        <w:spacing w:after="0"/>
        <w:jc w:val="both"/>
        <w:rPr>
          <w:rFonts w:ascii="Book Antiqua" w:hAnsi="Book Antiqua"/>
          <w:b/>
          <w:bCs/>
          <w:spacing w:val="5"/>
          <w:sz w:val="20"/>
          <w:szCs w:val="20"/>
          <w:lang w:val="es-PE"/>
        </w:rPr>
      </w:pPr>
    </w:p>
    <w:p w:rsidR="00591A74" w:rsidRPr="00F5174B" w:rsidRDefault="00591A74" w:rsidP="00591A74">
      <w:pPr>
        <w:tabs>
          <w:tab w:val="left" w:pos="1418"/>
        </w:tabs>
        <w:autoSpaceDE w:val="0"/>
        <w:autoSpaceDN w:val="0"/>
        <w:adjustRightInd w:val="0"/>
        <w:spacing w:after="0"/>
        <w:jc w:val="both"/>
        <w:rPr>
          <w:rFonts w:ascii="Book Antiqua" w:hAnsi="Book Antiqua"/>
          <w:b/>
          <w:bCs/>
          <w:spacing w:val="5"/>
          <w:sz w:val="20"/>
          <w:szCs w:val="20"/>
        </w:rPr>
      </w:pPr>
      <w:r w:rsidRPr="00F5174B">
        <w:rPr>
          <w:rFonts w:ascii="Book Antiqua" w:hAnsi="Book Antiqua"/>
          <w:b/>
          <w:bCs/>
          <w:smallCaps/>
          <w:spacing w:val="5"/>
          <w:sz w:val="20"/>
          <w:szCs w:val="20"/>
        </w:rPr>
        <w:t>Agraviado</w:t>
      </w:r>
      <w:r w:rsidRPr="00F5174B">
        <w:rPr>
          <w:rFonts w:ascii="Book Antiqua" w:hAnsi="Book Antiqua"/>
          <w:b/>
          <w:bCs/>
          <w:smallCaps/>
          <w:spacing w:val="5"/>
          <w:sz w:val="20"/>
          <w:szCs w:val="20"/>
        </w:rPr>
        <w:tab/>
        <w:t xml:space="preserve">: </w:t>
      </w:r>
      <w:r w:rsidR="00050288" w:rsidRPr="00F5174B">
        <w:rPr>
          <w:rFonts w:ascii="Book Antiqua" w:eastAsia="Calibri" w:hAnsi="Book Antiqua"/>
          <w:bCs/>
          <w:color w:val="000000"/>
          <w:spacing w:val="5"/>
          <w:sz w:val="20"/>
          <w:szCs w:val="20"/>
          <w:lang w:val="es-PE"/>
        </w:rPr>
        <w:t>Estado</w:t>
      </w:r>
    </w:p>
    <w:p w:rsidR="00591A74" w:rsidRPr="00F5174B" w:rsidRDefault="00591A74" w:rsidP="00591A74">
      <w:pPr>
        <w:tabs>
          <w:tab w:val="left" w:pos="1418"/>
        </w:tabs>
        <w:ind w:left="1560" w:hanging="1560"/>
        <w:contextualSpacing/>
        <w:jc w:val="both"/>
        <w:rPr>
          <w:rFonts w:ascii="Book Antiqua" w:eastAsia="Calibri" w:hAnsi="Book Antiqua"/>
          <w:color w:val="000000"/>
          <w:sz w:val="20"/>
          <w:szCs w:val="20"/>
          <w:lang w:val="es-PE"/>
        </w:rPr>
      </w:pPr>
      <w:r w:rsidRPr="00F5174B">
        <w:rPr>
          <w:rFonts w:ascii="Book Antiqua" w:hAnsi="Book Antiqua"/>
          <w:b/>
          <w:bCs/>
          <w:smallCaps/>
          <w:spacing w:val="5"/>
          <w:sz w:val="20"/>
          <w:szCs w:val="20"/>
        </w:rPr>
        <w:t>Delito</w:t>
      </w:r>
      <w:r w:rsidRPr="00F5174B">
        <w:rPr>
          <w:rFonts w:ascii="Book Antiqua" w:hAnsi="Book Antiqua"/>
          <w:b/>
          <w:bCs/>
          <w:smallCaps/>
          <w:spacing w:val="5"/>
          <w:sz w:val="20"/>
          <w:szCs w:val="20"/>
        </w:rPr>
        <w:tab/>
        <w:t xml:space="preserve">: </w:t>
      </w:r>
      <w:r w:rsidRPr="00F5174B">
        <w:rPr>
          <w:rFonts w:ascii="Book Antiqua" w:eastAsia="Calibri" w:hAnsi="Book Antiqua"/>
          <w:bCs/>
          <w:color w:val="000000"/>
          <w:spacing w:val="5"/>
          <w:sz w:val="20"/>
          <w:szCs w:val="20"/>
          <w:lang w:val="es-PE"/>
        </w:rPr>
        <w:t xml:space="preserve">Delitos contra </w:t>
      </w:r>
      <w:r w:rsidR="00F85FA8" w:rsidRPr="00F5174B">
        <w:rPr>
          <w:rFonts w:ascii="Book Antiqua" w:eastAsia="Calibri" w:hAnsi="Book Antiqua"/>
          <w:bCs/>
          <w:color w:val="000000"/>
          <w:spacing w:val="5"/>
          <w:sz w:val="20"/>
          <w:szCs w:val="20"/>
          <w:lang w:val="es-PE"/>
        </w:rPr>
        <w:t xml:space="preserve">la Administración Pública </w:t>
      </w:r>
      <w:r w:rsidRPr="00F5174B">
        <w:rPr>
          <w:rFonts w:ascii="Book Antiqua" w:eastAsia="Calibri" w:hAnsi="Book Antiqua"/>
          <w:bCs/>
          <w:color w:val="000000"/>
          <w:spacing w:val="5"/>
          <w:sz w:val="20"/>
          <w:szCs w:val="20"/>
          <w:lang w:val="es-PE"/>
        </w:rPr>
        <w:t>–</w:t>
      </w:r>
      <w:r w:rsidR="00F85FA8" w:rsidRPr="00F5174B">
        <w:rPr>
          <w:rFonts w:ascii="Book Antiqua" w:eastAsia="Calibri" w:hAnsi="Book Antiqua"/>
          <w:bCs/>
          <w:color w:val="000000"/>
          <w:spacing w:val="5"/>
          <w:sz w:val="20"/>
          <w:szCs w:val="20"/>
          <w:lang w:val="es-PE"/>
        </w:rPr>
        <w:t>Colusión y otros.</w:t>
      </w:r>
    </w:p>
    <w:p w:rsidR="00EE2AF8" w:rsidRPr="00F5174B" w:rsidRDefault="00591A74" w:rsidP="00591A74">
      <w:pPr>
        <w:tabs>
          <w:tab w:val="left" w:pos="1418"/>
        </w:tabs>
        <w:autoSpaceDE w:val="0"/>
        <w:autoSpaceDN w:val="0"/>
        <w:adjustRightInd w:val="0"/>
        <w:spacing w:after="0"/>
        <w:ind w:left="1418" w:hanging="1418"/>
        <w:jc w:val="both"/>
        <w:rPr>
          <w:rFonts w:ascii="Book Antiqua" w:hAnsi="Book Antiqua"/>
          <w:b/>
          <w:bCs/>
          <w:smallCaps/>
          <w:spacing w:val="5"/>
          <w:sz w:val="20"/>
          <w:szCs w:val="20"/>
        </w:rPr>
      </w:pPr>
      <w:r w:rsidRPr="00F5174B">
        <w:rPr>
          <w:rFonts w:ascii="Book Antiqua" w:hAnsi="Book Antiqua"/>
          <w:b/>
          <w:bCs/>
          <w:smallCaps/>
          <w:spacing w:val="5"/>
          <w:sz w:val="20"/>
          <w:szCs w:val="20"/>
        </w:rPr>
        <w:t>Decisión</w:t>
      </w:r>
      <w:r w:rsidRPr="00F5174B">
        <w:rPr>
          <w:rFonts w:ascii="Book Antiqua" w:hAnsi="Book Antiqua"/>
          <w:b/>
          <w:bCs/>
          <w:smallCaps/>
          <w:spacing w:val="5"/>
          <w:sz w:val="20"/>
          <w:szCs w:val="20"/>
        </w:rPr>
        <w:tab/>
        <w:t xml:space="preserve">: </w:t>
      </w:r>
    </w:p>
    <w:p w:rsidR="00591A74" w:rsidRPr="00F5174B" w:rsidRDefault="00591A74" w:rsidP="00FF7E94">
      <w:pPr>
        <w:tabs>
          <w:tab w:val="left" w:pos="1418"/>
        </w:tabs>
        <w:autoSpaceDE w:val="0"/>
        <w:autoSpaceDN w:val="0"/>
        <w:adjustRightInd w:val="0"/>
        <w:spacing w:after="0"/>
        <w:ind w:left="1418" w:hanging="1418"/>
        <w:jc w:val="both"/>
        <w:rPr>
          <w:rFonts w:ascii="Book Antiqua" w:hAnsi="Book Antiqua"/>
          <w:sz w:val="20"/>
          <w:szCs w:val="20"/>
        </w:rPr>
      </w:pPr>
      <w:r w:rsidRPr="00F5174B">
        <w:rPr>
          <w:rFonts w:ascii="Book Antiqua" w:hAnsi="Book Antiqua"/>
          <w:b/>
          <w:bCs/>
          <w:smallCaps/>
          <w:spacing w:val="5"/>
          <w:sz w:val="20"/>
          <w:szCs w:val="20"/>
        </w:rPr>
        <w:tab/>
      </w:r>
      <w:r w:rsidR="00F5174B" w:rsidRPr="00F5174B">
        <w:rPr>
          <w:rFonts w:ascii="Book Antiqua" w:hAnsi="Book Antiqua"/>
          <w:b/>
          <w:bCs/>
          <w:smallCaps/>
          <w:spacing w:val="5"/>
          <w:sz w:val="20"/>
          <w:szCs w:val="20"/>
        </w:rPr>
        <w:t>IN</w:t>
      </w:r>
      <w:r w:rsidRPr="00F5174B">
        <w:rPr>
          <w:rFonts w:ascii="Book Antiqua" w:hAnsi="Book Antiqua" w:cs="*Arial-Bold-121106-Identity-H"/>
          <w:b/>
          <w:bCs/>
          <w:sz w:val="20"/>
          <w:szCs w:val="20"/>
        </w:rPr>
        <w:t>FUNDADO</w:t>
      </w:r>
      <w:r w:rsidR="00F5174B" w:rsidRPr="00F5174B">
        <w:rPr>
          <w:rFonts w:ascii="Book Antiqua" w:hAnsi="Book Antiqua" w:cs="*Arial-Bold-121106-Identity-H"/>
          <w:b/>
          <w:bCs/>
          <w:sz w:val="20"/>
          <w:szCs w:val="20"/>
        </w:rPr>
        <w:t>S</w:t>
      </w:r>
      <w:r w:rsidRPr="00F5174B">
        <w:rPr>
          <w:rFonts w:ascii="Book Antiqua" w:hAnsi="Book Antiqua" w:cs="*Arial-Bold-121106-Identity-H"/>
          <w:bCs/>
          <w:sz w:val="20"/>
          <w:szCs w:val="20"/>
        </w:rPr>
        <w:t xml:space="preserve"> </w:t>
      </w:r>
      <w:r w:rsidR="00F5174B" w:rsidRPr="00F5174B">
        <w:rPr>
          <w:rFonts w:ascii="Book Antiqua" w:hAnsi="Book Antiqua" w:cs="*Arial-Bold-121106-Identity-H"/>
          <w:bCs/>
          <w:sz w:val="20"/>
          <w:szCs w:val="20"/>
        </w:rPr>
        <w:t>los</w:t>
      </w:r>
      <w:r w:rsidRPr="00F5174B">
        <w:rPr>
          <w:rFonts w:ascii="Book Antiqua" w:hAnsi="Book Antiqua" w:cs="*Courier New-4479-Identity-H"/>
          <w:sz w:val="20"/>
          <w:szCs w:val="20"/>
        </w:rPr>
        <w:t xml:space="preserve"> recurso</w:t>
      </w:r>
      <w:r w:rsidR="00F5174B" w:rsidRPr="00F5174B">
        <w:rPr>
          <w:rFonts w:ascii="Book Antiqua" w:hAnsi="Book Antiqua" w:cs="*Courier New-4479-Identity-H"/>
          <w:sz w:val="20"/>
          <w:szCs w:val="20"/>
        </w:rPr>
        <w:t>s</w:t>
      </w:r>
      <w:r w:rsidRPr="00F5174B">
        <w:rPr>
          <w:rFonts w:ascii="Book Antiqua" w:hAnsi="Book Antiqua" w:cs="*Courier New-4479-Identity-H"/>
          <w:sz w:val="20"/>
          <w:szCs w:val="20"/>
        </w:rPr>
        <w:t xml:space="preserve"> </w:t>
      </w:r>
      <w:r w:rsidR="00F5174B" w:rsidRPr="00F5174B">
        <w:rPr>
          <w:rFonts w:ascii="Book Antiqua" w:hAnsi="Book Antiqua" w:cs="*Courier New-4479-Identity-H"/>
          <w:sz w:val="20"/>
          <w:szCs w:val="20"/>
        </w:rPr>
        <w:t>d</w:t>
      </w:r>
      <w:r w:rsidR="00F5174B" w:rsidRPr="00F5174B">
        <w:rPr>
          <w:rFonts w:ascii="Book Antiqua" w:hAnsi="Book Antiqua"/>
          <w:sz w:val="20"/>
          <w:szCs w:val="20"/>
        </w:rPr>
        <w:t>e casación excepcional interpuestos por el representante del Ministerio Público sobre congruencia y por la defensa técnica del investigado Gregorio Santos Guerrero, sobre requisitos de la prolongación de prisión preventiva</w:t>
      </w:r>
    </w:p>
    <w:p w:rsidR="00FF7E94" w:rsidRPr="00F5174B" w:rsidRDefault="00FF7E94" w:rsidP="00591A74">
      <w:pPr>
        <w:spacing w:after="0"/>
        <w:jc w:val="both"/>
        <w:rPr>
          <w:rFonts w:ascii="Book Antiqua" w:hAnsi="Book Antiqua"/>
          <w:b/>
          <w:bCs/>
          <w:smallCaps/>
          <w:color w:val="4472C4"/>
          <w:spacing w:val="5"/>
          <w:sz w:val="20"/>
          <w:szCs w:val="20"/>
        </w:rPr>
      </w:pPr>
    </w:p>
    <w:p w:rsidR="00591A74" w:rsidRPr="00F5174B" w:rsidRDefault="00591A74" w:rsidP="00591A74">
      <w:pPr>
        <w:jc w:val="both"/>
        <w:rPr>
          <w:rFonts w:ascii="Book Antiqua" w:hAnsi="Book Antiqua"/>
          <w:b/>
          <w:bCs/>
          <w:smallCaps/>
          <w:spacing w:val="5"/>
          <w:sz w:val="20"/>
          <w:szCs w:val="20"/>
        </w:rPr>
      </w:pPr>
      <w:r w:rsidRPr="00F5174B">
        <w:rPr>
          <w:rFonts w:ascii="Book Antiqua" w:hAnsi="Book Antiqua"/>
          <w:b/>
          <w:bCs/>
          <w:smallCaps/>
          <w:spacing w:val="5"/>
          <w:sz w:val="20"/>
          <w:szCs w:val="20"/>
        </w:rPr>
        <w:t>[Descripción del caso]</w:t>
      </w:r>
    </w:p>
    <w:p w:rsidR="0067196A" w:rsidRPr="00F5174B" w:rsidRDefault="00FF7E94" w:rsidP="00591A74">
      <w:pPr>
        <w:autoSpaceDE w:val="0"/>
        <w:autoSpaceDN w:val="0"/>
        <w:adjustRightInd w:val="0"/>
        <w:spacing w:after="0" w:line="240" w:lineRule="auto"/>
        <w:jc w:val="both"/>
        <w:rPr>
          <w:rFonts w:ascii="Book Antiqua" w:eastAsia="Calibri" w:hAnsi="Book Antiqua"/>
          <w:sz w:val="20"/>
          <w:szCs w:val="20"/>
          <w:lang w:val="es-PE"/>
        </w:rPr>
      </w:pPr>
      <w:r w:rsidRPr="00F5174B">
        <w:rPr>
          <w:rFonts w:ascii="Book Antiqua" w:eastAsia="Calibri" w:hAnsi="Book Antiqua"/>
          <w:sz w:val="20"/>
          <w:szCs w:val="20"/>
        </w:rPr>
        <w:t>Los</w:t>
      </w:r>
      <w:r w:rsidR="00D76A99" w:rsidRPr="00F5174B">
        <w:rPr>
          <w:rFonts w:ascii="Book Antiqua" w:eastAsia="Calibri" w:hAnsi="Book Antiqua"/>
          <w:sz w:val="20"/>
          <w:szCs w:val="20"/>
          <w:lang w:val="es-PE"/>
        </w:rPr>
        <w:t xml:space="preserve"> impugnante</w:t>
      </w:r>
      <w:r w:rsidRPr="00F5174B">
        <w:rPr>
          <w:rFonts w:ascii="Book Antiqua" w:eastAsia="Calibri" w:hAnsi="Book Antiqua"/>
          <w:sz w:val="20"/>
          <w:szCs w:val="20"/>
          <w:lang w:val="es-PE"/>
        </w:rPr>
        <w:t>s</w:t>
      </w:r>
      <w:r w:rsidR="00D76A99" w:rsidRPr="00F5174B">
        <w:rPr>
          <w:rFonts w:ascii="Book Antiqua" w:eastAsia="Calibri" w:hAnsi="Book Antiqua"/>
          <w:sz w:val="20"/>
          <w:szCs w:val="20"/>
          <w:lang w:val="es-PE"/>
        </w:rPr>
        <w:t xml:space="preserve"> interpone</w:t>
      </w:r>
      <w:r w:rsidRPr="00F5174B">
        <w:rPr>
          <w:rFonts w:ascii="Book Antiqua" w:eastAsia="Calibri" w:hAnsi="Book Antiqua"/>
          <w:sz w:val="20"/>
          <w:szCs w:val="20"/>
          <w:lang w:val="es-PE"/>
        </w:rPr>
        <w:t>n</w:t>
      </w:r>
      <w:r w:rsidR="00D76A99" w:rsidRPr="00F5174B">
        <w:rPr>
          <w:rFonts w:ascii="Book Antiqua" w:eastAsia="Calibri" w:hAnsi="Book Antiqua"/>
          <w:sz w:val="20"/>
          <w:szCs w:val="20"/>
          <w:lang w:val="es-PE"/>
        </w:rPr>
        <w:t xml:space="preserve"> recurso de casación en contra de la resolución de vista</w:t>
      </w:r>
      <w:r w:rsidR="0067196A" w:rsidRPr="00F5174B">
        <w:rPr>
          <w:rFonts w:ascii="Book Antiqua" w:eastAsia="Calibri" w:hAnsi="Book Antiqua"/>
          <w:sz w:val="20"/>
          <w:szCs w:val="20"/>
          <w:lang w:val="es-PE"/>
        </w:rPr>
        <w:t xml:space="preserve">, </w:t>
      </w:r>
      <w:r w:rsidRPr="00F5174B">
        <w:rPr>
          <w:rFonts w:ascii="Book Antiqua" w:eastAsia="Calibri" w:hAnsi="Book Antiqua"/>
          <w:sz w:val="20"/>
          <w:szCs w:val="20"/>
          <w:lang w:val="es-PE"/>
        </w:rPr>
        <w:t>que sostiene</w:t>
      </w:r>
      <w:r w:rsidR="0067196A" w:rsidRPr="00F5174B">
        <w:rPr>
          <w:rFonts w:ascii="Book Antiqua" w:eastAsia="Calibri" w:hAnsi="Book Antiqua"/>
          <w:sz w:val="20"/>
          <w:szCs w:val="20"/>
          <w:lang w:val="es-PE"/>
        </w:rPr>
        <w:t>:</w:t>
      </w:r>
    </w:p>
    <w:p w:rsidR="0067196A" w:rsidRPr="00F5174B" w:rsidRDefault="00F5174B" w:rsidP="0067196A">
      <w:pPr>
        <w:pStyle w:val="Prrafodelista"/>
        <w:numPr>
          <w:ilvl w:val="0"/>
          <w:numId w:val="1"/>
        </w:numPr>
        <w:autoSpaceDE w:val="0"/>
        <w:autoSpaceDN w:val="0"/>
        <w:adjustRightInd w:val="0"/>
        <w:spacing w:after="0" w:line="240" w:lineRule="auto"/>
        <w:jc w:val="both"/>
        <w:rPr>
          <w:rFonts w:ascii="Book Antiqua" w:eastAsia="Calibri" w:hAnsi="Book Antiqua"/>
          <w:sz w:val="20"/>
          <w:szCs w:val="20"/>
          <w:lang w:val="es-PE"/>
        </w:rPr>
      </w:pPr>
      <w:r w:rsidRPr="00F5174B">
        <w:rPr>
          <w:rFonts w:ascii="Book Antiqua" w:eastAsia="Calibri" w:hAnsi="Book Antiqua"/>
          <w:sz w:val="20"/>
          <w:szCs w:val="20"/>
          <w:lang w:val="es-PE"/>
        </w:rPr>
        <w:t>Reducir el plazo de prolongación de prisión preventiva de 18 a 11</w:t>
      </w:r>
      <w:r w:rsidR="00FF7E94" w:rsidRPr="00F5174B">
        <w:rPr>
          <w:rFonts w:ascii="Book Antiqua" w:eastAsia="Calibri" w:hAnsi="Book Antiqua"/>
          <w:sz w:val="20"/>
          <w:szCs w:val="20"/>
          <w:lang w:val="es-PE"/>
        </w:rPr>
        <w:t>.</w:t>
      </w:r>
    </w:p>
    <w:p w:rsidR="00EB25D6" w:rsidRPr="00F5174B" w:rsidRDefault="00EB25D6" w:rsidP="00591A74">
      <w:pPr>
        <w:autoSpaceDE w:val="0"/>
        <w:autoSpaceDN w:val="0"/>
        <w:adjustRightInd w:val="0"/>
        <w:spacing w:after="0" w:line="240" w:lineRule="auto"/>
        <w:jc w:val="both"/>
        <w:rPr>
          <w:rFonts w:ascii="Book Antiqua" w:eastAsia="Calibri" w:hAnsi="Book Antiqua"/>
          <w:b/>
          <w:sz w:val="20"/>
          <w:szCs w:val="20"/>
          <w:u w:val="single"/>
        </w:rPr>
      </w:pPr>
    </w:p>
    <w:p w:rsidR="00F5174B" w:rsidRPr="00F5174B" w:rsidRDefault="00F5174B" w:rsidP="00591A74">
      <w:pPr>
        <w:autoSpaceDE w:val="0"/>
        <w:autoSpaceDN w:val="0"/>
        <w:adjustRightInd w:val="0"/>
        <w:spacing w:after="0" w:line="240" w:lineRule="auto"/>
        <w:jc w:val="both"/>
        <w:rPr>
          <w:rFonts w:ascii="Book Antiqua" w:eastAsia="Calibri" w:hAnsi="Book Antiqua"/>
          <w:b/>
          <w:sz w:val="20"/>
          <w:szCs w:val="20"/>
          <w:u w:val="single"/>
        </w:rPr>
      </w:pPr>
    </w:p>
    <w:p w:rsidR="00591A74" w:rsidRPr="00F5174B" w:rsidRDefault="00426689" w:rsidP="00591A74">
      <w:pPr>
        <w:autoSpaceDE w:val="0"/>
        <w:autoSpaceDN w:val="0"/>
        <w:adjustRightInd w:val="0"/>
        <w:spacing w:after="0" w:line="240" w:lineRule="auto"/>
        <w:jc w:val="both"/>
        <w:rPr>
          <w:rFonts w:ascii="Book Antiqua" w:eastAsia="Calibri" w:hAnsi="Book Antiqua"/>
          <w:b/>
          <w:sz w:val="20"/>
          <w:szCs w:val="20"/>
          <w:u w:val="single"/>
          <w:lang w:val="es-PE"/>
        </w:rPr>
      </w:pPr>
      <w:r w:rsidRPr="00F5174B">
        <w:rPr>
          <w:rFonts w:ascii="Book Antiqua" w:eastAsia="Calibri" w:hAnsi="Book Antiqua"/>
          <w:b/>
          <w:sz w:val="20"/>
          <w:szCs w:val="20"/>
          <w:u w:val="single"/>
          <w:lang w:val="es-PE"/>
        </w:rPr>
        <w:t>Itinerario de la causa en primera instancia</w:t>
      </w:r>
    </w:p>
    <w:p w:rsidR="00304F41" w:rsidRDefault="00666FD7" w:rsidP="00304F41">
      <w:pPr>
        <w:autoSpaceDE w:val="0"/>
        <w:autoSpaceDN w:val="0"/>
        <w:adjustRightInd w:val="0"/>
        <w:spacing w:after="0" w:line="240" w:lineRule="auto"/>
        <w:jc w:val="both"/>
        <w:rPr>
          <w:rFonts w:ascii="Book Antiqua" w:eastAsia="Calibri" w:hAnsi="Book Antiqua"/>
          <w:sz w:val="20"/>
          <w:szCs w:val="20"/>
          <w:lang w:val="es-PE"/>
        </w:rPr>
      </w:pPr>
      <w:r w:rsidRPr="00666FD7">
        <w:rPr>
          <w:rFonts w:ascii="Book Antiqua" w:eastAsia="Calibri" w:hAnsi="Book Antiqua"/>
          <w:sz w:val="20"/>
          <w:szCs w:val="20"/>
          <w:lang w:val="es-PE"/>
        </w:rPr>
        <w:t>S</w:t>
      </w:r>
      <w:r>
        <w:rPr>
          <w:rFonts w:ascii="Book Antiqua" w:eastAsia="Calibri" w:hAnsi="Book Antiqua"/>
          <w:sz w:val="20"/>
          <w:szCs w:val="20"/>
          <w:lang w:val="es-PE"/>
        </w:rPr>
        <w:t>e</w:t>
      </w:r>
      <w:r w:rsidRPr="00666FD7">
        <w:rPr>
          <w:rFonts w:ascii="Book Antiqua" w:eastAsia="Calibri" w:hAnsi="Book Antiqua"/>
          <w:sz w:val="20"/>
          <w:szCs w:val="20"/>
          <w:lang w:val="es-PE"/>
        </w:rPr>
        <w:t xml:space="preserve"> </w:t>
      </w:r>
      <w:r>
        <w:rPr>
          <w:rFonts w:ascii="Book Antiqua" w:eastAsia="Calibri" w:hAnsi="Book Antiqua"/>
          <w:sz w:val="20"/>
          <w:szCs w:val="20"/>
          <w:lang w:val="es-PE"/>
        </w:rPr>
        <w:t>i</w:t>
      </w:r>
      <w:r w:rsidRPr="00666FD7">
        <w:rPr>
          <w:rFonts w:ascii="Book Antiqua" w:eastAsia="Calibri" w:hAnsi="Book Antiqua"/>
          <w:sz w:val="20"/>
          <w:szCs w:val="20"/>
          <w:lang w:val="es-PE"/>
        </w:rPr>
        <w:t>mputa la</w:t>
      </w:r>
      <w:r>
        <w:rPr>
          <w:rFonts w:ascii="Book Antiqua" w:eastAsia="Calibri" w:hAnsi="Book Antiqua"/>
          <w:sz w:val="20"/>
          <w:szCs w:val="20"/>
          <w:lang w:val="es-PE"/>
        </w:rPr>
        <w:t xml:space="preserve"> existencia de una organización criminal que favoreció a empresas vinculadas a Wilson Manuel Vallejos Díaz y </w:t>
      </w:r>
      <w:proofErr w:type="spellStart"/>
      <w:r>
        <w:rPr>
          <w:rFonts w:ascii="Book Antiqua" w:eastAsia="Calibri" w:hAnsi="Book Antiqua"/>
          <w:sz w:val="20"/>
          <w:szCs w:val="20"/>
          <w:lang w:val="es-PE"/>
        </w:rPr>
        <w:t>Crysti</w:t>
      </w:r>
      <w:proofErr w:type="spellEnd"/>
      <w:r>
        <w:rPr>
          <w:rFonts w:ascii="Book Antiqua" w:eastAsia="Calibri" w:hAnsi="Book Antiqua"/>
          <w:sz w:val="20"/>
          <w:szCs w:val="20"/>
          <w:lang w:val="es-PE"/>
        </w:rPr>
        <w:t xml:space="preserve"> Soledad Varas </w:t>
      </w:r>
      <w:proofErr w:type="spellStart"/>
      <w:r>
        <w:rPr>
          <w:rFonts w:ascii="Book Antiqua" w:eastAsia="Calibri" w:hAnsi="Book Antiqua"/>
          <w:sz w:val="20"/>
          <w:szCs w:val="20"/>
          <w:lang w:val="es-PE"/>
        </w:rPr>
        <w:t>Langle</w:t>
      </w:r>
      <w:proofErr w:type="spellEnd"/>
      <w:r>
        <w:rPr>
          <w:rFonts w:ascii="Book Antiqua" w:eastAsia="Calibri" w:hAnsi="Book Antiqua"/>
          <w:sz w:val="20"/>
          <w:szCs w:val="20"/>
          <w:lang w:val="es-PE"/>
        </w:rPr>
        <w:t>.</w:t>
      </w:r>
    </w:p>
    <w:p w:rsidR="00666FD7" w:rsidRDefault="00666FD7" w:rsidP="00304F41">
      <w:pPr>
        <w:autoSpaceDE w:val="0"/>
        <w:autoSpaceDN w:val="0"/>
        <w:adjustRightInd w:val="0"/>
        <w:spacing w:after="0" w:line="240" w:lineRule="auto"/>
        <w:jc w:val="both"/>
        <w:rPr>
          <w:rFonts w:ascii="Book Antiqua" w:eastAsia="Calibri" w:hAnsi="Book Antiqua"/>
          <w:sz w:val="20"/>
          <w:szCs w:val="20"/>
          <w:lang w:val="es-PE"/>
        </w:rPr>
      </w:pPr>
    </w:p>
    <w:p w:rsidR="00666FD7" w:rsidRDefault="00666FD7" w:rsidP="00304F41">
      <w:pPr>
        <w:autoSpaceDE w:val="0"/>
        <w:autoSpaceDN w:val="0"/>
        <w:adjustRightInd w:val="0"/>
        <w:spacing w:after="0" w:line="240" w:lineRule="auto"/>
        <w:jc w:val="both"/>
        <w:rPr>
          <w:rFonts w:ascii="Book Antiqua" w:eastAsia="Calibri" w:hAnsi="Book Antiqua"/>
          <w:sz w:val="20"/>
          <w:szCs w:val="20"/>
          <w:lang w:val="es-PE"/>
        </w:rPr>
      </w:pPr>
      <w:r>
        <w:rPr>
          <w:rFonts w:ascii="Book Antiqua" w:eastAsia="Calibri" w:hAnsi="Book Antiqua"/>
          <w:sz w:val="20"/>
          <w:szCs w:val="20"/>
          <w:lang w:val="es-PE"/>
        </w:rPr>
        <w:t>En relación a la organización criminal se imputa que:</w:t>
      </w:r>
    </w:p>
    <w:p w:rsidR="00666FD7" w:rsidRDefault="00666FD7" w:rsidP="00666FD7">
      <w:pPr>
        <w:pStyle w:val="Prrafodelista"/>
        <w:numPr>
          <w:ilvl w:val="0"/>
          <w:numId w:val="21"/>
        </w:numPr>
        <w:autoSpaceDE w:val="0"/>
        <w:autoSpaceDN w:val="0"/>
        <w:adjustRightInd w:val="0"/>
        <w:spacing w:after="0" w:line="240" w:lineRule="auto"/>
        <w:jc w:val="both"/>
        <w:rPr>
          <w:rFonts w:ascii="Book Antiqua" w:eastAsia="Calibri" w:hAnsi="Book Antiqua"/>
          <w:sz w:val="20"/>
          <w:szCs w:val="20"/>
          <w:lang w:val="es-PE"/>
        </w:rPr>
      </w:pPr>
      <w:r>
        <w:rPr>
          <w:rFonts w:ascii="Book Antiqua" w:eastAsia="Calibri" w:hAnsi="Book Antiqua"/>
          <w:sz w:val="20"/>
          <w:szCs w:val="20"/>
          <w:lang w:val="es-PE"/>
        </w:rPr>
        <w:t>Se gestó al interior del Gobierno Regional de Cajamarca y la Unidad Ejecutora Regional –PROREGIÓN.</w:t>
      </w:r>
    </w:p>
    <w:p w:rsidR="00666FD7" w:rsidRDefault="00666FD7" w:rsidP="00666FD7">
      <w:pPr>
        <w:pStyle w:val="Prrafodelista"/>
        <w:numPr>
          <w:ilvl w:val="0"/>
          <w:numId w:val="21"/>
        </w:numPr>
        <w:autoSpaceDE w:val="0"/>
        <w:autoSpaceDN w:val="0"/>
        <w:adjustRightInd w:val="0"/>
        <w:spacing w:after="0" w:line="240" w:lineRule="auto"/>
        <w:jc w:val="both"/>
        <w:rPr>
          <w:rFonts w:ascii="Book Antiqua" w:eastAsia="Calibri" w:hAnsi="Book Antiqua"/>
          <w:sz w:val="20"/>
          <w:szCs w:val="20"/>
          <w:lang w:val="es-PE"/>
        </w:rPr>
      </w:pPr>
      <w:r>
        <w:rPr>
          <w:rFonts w:ascii="Book Antiqua" w:eastAsia="Calibri" w:hAnsi="Book Antiqua"/>
          <w:sz w:val="20"/>
          <w:szCs w:val="20"/>
          <w:lang w:val="es-PE"/>
        </w:rPr>
        <w:t>Se trata de pluralidad de personas organizadas de forma jerárquica.</w:t>
      </w:r>
    </w:p>
    <w:p w:rsidR="00666FD7" w:rsidRDefault="00666FD7" w:rsidP="00666FD7">
      <w:pPr>
        <w:pStyle w:val="Prrafodelista"/>
        <w:numPr>
          <w:ilvl w:val="0"/>
          <w:numId w:val="21"/>
        </w:numPr>
        <w:autoSpaceDE w:val="0"/>
        <w:autoSpaceDN w:val="0"/>
        <w:adjustRightInd w:val="0"/>
        <w:spacing w:after="0" w:line="240" w:lineRule="auto"/>
        <w:jc w:val="both"/>
        <w:rPr>
          <w:rFonts w:ascii="Book Antiqua" w:eastAsia="Calibri" w:hAnsi="Book Antiqua"/>
          <w:sz w:val="20"/>
          <w:szCs w:val="20"/>
          <w:lang w:val="es-PE"/>
        </w:rPr>
      </w:pPr>
      <w:r w:rsidRPr="00666FD7">
        <w:rPr>
          <w:rFonts w:ascii="Book Antiqua" w:eastAsia="Calibri" w:hAnsi="Book Antiqua"/>
          <w:sz w:val="20"/>
          <w:szCs w:val="20"/>
          <w:lang w:val="es-PE"/>
        </w:rPr>
        <w:t xml:space="preserve">Está liderada por Gregorio Santos Guerrero en su calidad de </w:t>
      </w:r>
      <w:r>
        <w:rPr>
          <w:rFonts w:ascii="Book Antiqua" w:eastAsia="Calibri" w:hAnsi="Book Antiqua"/>
          <w:sz w:val="20"/>
          <w:szCs w:val="20"/>
          <w:lang w:val="es-PE"/>
        </w:rPr>
        <w:t>Presidente Regional de Cajamarca, y, de Presidente del Comité Directivo de PROREGIÓN.</w:t>
      </w:r>
    </w:p>
    <w:p w:rsidR="00666FD7" w:rsidRDefault="00CE1C62" w:rsidP="00666FD7">
      <w:pPr>
        <w:pStyle w:val="Prrafodelista"/>
        <w:numPr>
          <w:ilvl w:val="0"/>
          <w:numId w:val="21"/>
        </w:numPr>
        <w:autoSpaceDE w:val="0"/>
        <w:autoSpaceDN w:val="0"/>
        <w:adjustRightInd w:val="0"/>
        <w:spacing w:after="0" w:line="240" w:lineRule="auto"/>
        <w:jc w:val="both"/>
        <w:rPr>
          <w:rFonts w:ascii="Book Antiqua" w:eastAsia="Calibri" w:hAnsi="Book Antiqua"/>
          <w:sz w:val="20"/>
          <w:szCs w:val="20"/>
          <w:lang w:val="es-PE"/>
        </w:rPr>
      </w:pPr>
      <w:r>
        <w:rPr>
          <w:rFonts w:ascii="Book Antiqua" w:eastAsia="Calibri" w:hAnsi="Book Antiqua"/>
          <w:sz w:val="20"/>
          <w:szCs w:val="20"/>
          <w:lang w:val="es-PE"/>
        </w:rPr>
        <w:t>Estaba integrada también por:</w:t>
      </w:r>
    </w:p>
    <w:p w:rsidR="00CE1C62" w:rsidRPr="00CE1C62" w:rsidRDefault="00CE1C62" w:rsidP="00CE1C62">
      <w:pPr>
        <w:pStyle w:val="Prrafodelista"/>
        <w:numPr>
          <w:ilvl w:val="1"/>
          <w:numId w:val="21"/>
        </w:numPr>
        <w:autoSpaceDE w:val="0"/>
        <w:autoSpaceDN w:val="0"/>
        <w:adjustRightInd w:val="0"/>
        <w:spacing w:after="0" w:line="240" w:lineRule="auto"/>
        <w:jc w:val="both"/>
        <w:rPr>
          <w:rFonts w:ascii="Book Antiqua" w:eastAsia="Calibri" w:hAnsi="Book Antiqua"/>
          <w:sz w:val="20"/>
          <w:szCs w:val="20"/>
          <w:lang w:val="pt-BR"/>
        </w:rPr>
      </w:pPr>
      <w:r w:rsidRPr="00CE1C62">
        <w:rPr>
          <w:rFonts w:ascii="Book Antiqua" w:eastAsia="Calibri" w:hAnsi="Book Antiqua"/>
          <w:sz w:val="20"/>
          <w:szCs w:val="20"/>
          <w:lang w:val="pt-BR"/>
        </w:rPr>
        <w:t xml:space="preserve">José </w:t>
      </w:r>
      <w:proofErr w:type="spellStart"/>
      <w:r w:rsidRPr="00CE1C62">
        <w:rPr>
          <w:rFonts w:ascii="Book Antiqua" w:eastAsia="Calibri" w:hAnsi="Book Antiqua"/>
          <w:sz w:val="20"/>
          <w:szCs w:val="20"/>
          <w:lang w:val="pt-BR"/>
        </w:rPr>
        <w:t>Panta</w:t>
      </w:r>
      <w:proofErr w:type="spellEnd"/>
      <w:r w:rsidRPr="00CE1C62">
        <w:rPr>
          <w:rFonts w:ascii="Book Antiqua" w:eastAsia="Calibri" w:hAnsi="Book Antiqua"/>
          <w:sz w:val="20"/>
          <w:szCs w:val="20"/>
          <w:lang w:val="pt-BR"/>
        </w:rPr>
        <w:t xml:space="preserve"> </w:t>
      </w:r>
      <w:proofErr w:type="spellStart"/>
      <w:r w:rsidRPr="00CE1C62">
        <w:rPr>
          <w:rFonts w:ascii="Book Antiqua" w:eastAsia="Calibri" w:hAnsi="Book Antiqua"/>
          <w:sz w:val="20"/>
          <w:szCs w:val="20"/>
          <w:lang w:val="pt-BR"/>
        </w:rPr>
        <w:t>Quiroga</w:t>
      </w:r>
      <w:proofErr w:type="spellEnd"/>
      <w:r w:rsidRPr="00CE1C62">
        <w:rPr>
          <w:rFonts w:ascii="Book Antiqua" w:eastAsia="Calibri" w:hAnsi="Book Antiqua"/>
          <w:sz w:val="20"/>
          <w:szCs w:val="20"/>
          <w:lang w:val="pt-BR"/>
        </w:rPr>
        <w:t xml:space="preserve"> [</w:t>
      </w:r>
      <w:proofErr w:type="spellStart"/>
      <w:r w:rsidRPr="00CE1C62">
        <w:rPr>
          <w:rFonts w:ascii="Book Antiqua" w:eastAsia="Calibri" w:hAnsi="Book Antiqua"/>
          <w:sz w:val="20"/>
          <w:szCs w:val="20"/>
          <w:lang w:val="pt-BR"/>
        </w:rPr>
        <w:t>ex</w:t>
      </w:r>
      <w:proofErr w:type="spellEnd"/>
      <w:r>
        <w:rPr>
          <w:rFonts w:ascii="Book Antiqua" w:eastAsia="Calibri" w:hAnsi="Book Antiqua"/>
          <w:sz w:val="20"/>
          <w:szCs w:val="20"/>
          <w:lang w:val="pt-BR"/>
        </w:rPr>
        <w:t xml:space="preserve"> </w:t>
      </w:r>
      <w:proofErr w:type="spellStart"/>
      <w:r>
        <w:rPr>
          <w:rFonts w:ascii="Book Antiqua" w:eastAsia="Calibri" w:hAnsi="Book Antiqua"/>
          <w:sz w:val="20"/>
          <w:szCs w:val="20"/>
          <w:lang w:val="pt-BR"/>
        </w:rPr>
        <w:t>director</w:t>
      </w:r>
      <w:proofErr w:type="spellEnd"/>
      <w:r w:rsidRPr="00CE1C62">
        <w:rPr>
          <w:rFonts w:ascii="Book Antiqua" w:eastAsia="Calibri" w:hAnsi="Book Antiqua"/>
          <w:sz w:val="20"/>
          <w:szCs w:val="20"/>
          <w:lang w:val="pt-BR"/>
        </w:rPr>
        <w:t>]</w:t>
      </w:r>
    </w:p>
    <w:p w:rsidR="00CE1C62" w:rsidRDefault="00CE1C62" w:rsidP="00CE1C62">
      <w:pPr>
        <w:pStyle w:val="Prrafodelista"/>
        <w:numPr>
          <w:ilvl w:val="1"/>
          <w:numId w:val="21"/>
        </w:numPr>
        <w:autoSpaceDE w:val="0"/>
        <w:autoSpaceDN w:val="0"/>
        <w:adjustRightInd w:val="0"/>
        <w:spacing w:after="0" w:line="240" w:lineRule="auto"/>
        <w:jc w:val="both"/>
        <w:rPr>
          <w:rFonts w:ascii="Book Antiqua" w:eastAsia="Calibri" w:hAnsi="Book Antiqua"/>
          <w:sz w:val="20"/>
          <w:szCs w:val="20"/>
          <w:lang w:val="es-PE"/>
        </w:rPr>
      </w:pPr>
      <w:r>
        <w:rPr>
          <w:rFonts w:ascii="Book Antiqua" w:eastAsia="Calibri" w:hAnsi="Book Antiqua"/>
          <w:sz w:val="20"/>
          <w:szCs w:val="20"/>
          <w:lang w:val="es-PE"/>
        </w:rPr>
        <w:lastRenderedPageBreak/>
        <w:t xml:space="preserve">Juan Ricardo Coronado </w:t>
      </w:r>
      <w:proofErr w:type="spellStart"/>
      <w:r>
        <w:rPr>
          <w:rFonts w:ascii="Book Antiqua" w:eastAsia="Calibri" w:hAnsi="Book Antiqua"/>
          <w:sz w:val="20"/>
          <w:szCs w:val="20"/>
          <w:lang w:val="es-PE"/>
        </w:rPr>
        <w:t>Fustamante</w:t>
      </w:r>
      <w:proofErr w:type="spellEnd"/>
      <w:r>
        <w:rPr>
          <w:rFonts w:ascii="Book Antiqua" w:eastAsia="Calibri" w:hAnsi="Book Antiqua"/>
          <w:sz w:val="20"/>
          <w:szCs w:val="20"/>
          <w:lang w:val="es-PE"/>
        </w:rPr>
        <w:t xml:space="preserve"> [</w:t>
      </w:r>
      <w:proofErr w:type="spellStart"/>
      <w:r w:rsidRPr="00CE1C62">
        <w:rPr>
          <w:rFonts w:ascii="Book Antiqua" w:eastAsia="Calibri" w:hAnsi="Book Antiqua"/>
          <w:sz w:val="20"/>
          <w:szCs w:val="20"/>
          <w:lang w:val="pt-BR"/>
        </w:rPr>
        <w:t>ex</w:t>
      </w:r>
      <w:proofErr w:type="spellEnd"/>
      <w:r w:rsidRPr="00CE1C62">
        <w:rPr>
          <w:rFonts w:ascii="Book Antiqua" w:eastAsia="Calibri" w:hAnsi="Book Antiqua"/>
          <w:sz w:val="20"/>
          <w:szCs w:val="20"/>
          <w:lang w:val="pt-BR"/>
        </w:rPr>
        <w:t xml:space="preserve"> administrador</w:t>
      </w:r>
      <w:r>
        <w:rPr>
          <w:rFonts w:ascii="Book Antiqua" w:eastAsia="Calibri" w:hAnsi="Book Antiqua"/>
          <w:sz w:val="20"/>
          <w:szCs w:val="20"/>
          <w:lang w:val="es-PE"/>
        </w:rPr>
        <w:t>]</w:t>
      </w:r>
    </w:p>
    <w:p w:rsidR="00CE1C62" w:rsidRDefault="00CE1C62" w:rsidP="00CE1C62">
      <w:pPr>
        <w:pStyle w:val="Prrafodelista"/>
        <w:numPr>
          <w:ilvl w:val="1"/>
          <w:numId w:val="21"/>
        </w:numPr>
        <w:autoSpaceDE w:val="0"/>
        <w:autoSpaceDN w:val="0"/>
        <w:adjustRightInd w:val="0"/>
        <w:spacing w:after="0" w:line="240" w:lineRule="auto"/>
        <w:jc w:val="both"/>
        <w:rPr>
          <w:rFonts w:ascii="Book Antiqua" w:eastAsia="Calibri" w:hAnsi="Book Antiqua"/>
          <w:sz w:val="20"/>
          <w:szCs w:val="20"/>
          <w:lang w:val="es-PE"/>
        </w:rPr>
      </w:pPr>
      <w:r>
        <w:rPr>
          <w:rFonts w:ascii="Book Antiqua" w:eastAsia="Calibri" w:hAnsi="Book Antiqua"/>
          <w:sz w:val="20"/>
          <w:szCs w:val="20"/>
          <w:lang w:val="es-PE"/>
        </w:rPr>
        <w:t xml:space="preserve">Herbert </w:t>
      </w:r>
      <w:proofErr w:type="spellStart"/>
      <w:r>
        <w:rPr>
          <w:rFonts w:ascii="Book Antiqua" w:eastAsia="Calibri" w:hAnsi="Book Antiqua"/>
          <w:sz w:val="20"/>
          <w:szCs w:val="20"/>
          <w:lang w:val="es-PE"/>
        </w:rPr>
        <w:t>Wilderd</w:t>
      </w:r>
      <w:proofErr w:type="spellEnd"/>
      <w:r>
        <w:rPr>
          <w:rFonts w:ascii="Book Antiqua" w:eastAsia="Calibri" w:hAnsi="Book Antiqua"/>
          <w:sz w:val="20"/>
          <w:szCs w:val="20"/>
          <w:lang w:val="es-PE"/>
        </w:rPr>
        <w:t xml:space="preserve"> Bravo Saucedo [Jefe de la Unidad de Ingeniería]</w:t>
      </w:r>
    </w:p>
    <w:p w:rsidR="00CE1C62" w:rsidRDefault="00CE1C62" w:rsidP="00CE1C62">
      <w:pPr>
        <w:pStyle w:val="Prrafodelista"/>
        <w:numPr>
          <w:ilvl w:val="1"/>
          <w:numId w:val="21"/>
        </w:numPr>
        <w:autoSpaceDE w:val="0"/>
        <w:autoSpaceDN w:val="0"/>
        <w:adjustRightInd w:val="0"/>
        <w:spacing w:after="0" w:line="240" w:lineRule="auto"/>
        <w:jc w:val="both"/>
        <w:rPr>
          <w:rFonts w:ascii="Book Antiqua" w:eastAsia="Calibri" w:hAnsi="Book Antiqua"/>
          <w:sz w:val="20"/>
          <w:szCs w:val="20"/>
          <w:lang w:val="es-PE"/>
        </w:rPr>
      </w:pPr>
      <w:proofErr w:type="spellStart"/>
      <w:r>
        <w:rPr>
          <w:rFonts w:ascii="Book Antiqua" w:eastAsia="Calibri" w:hAnsi="Book Antiqua"/>
          <w:sz w:val="20"/>
          <w:szCs w:val="20"/>
          <w:lang w:val="es-PE"/>
        </w:rPr>
        <w:t>Fuadd</w:t>
      </w:r>
      <w:proofErr w:type="spellEnd"/>
      <w:r>
        <w:rPr>
          <w:rFonts w:ascii="Book Antiqua" w:eastAsia="Calibri" w:hAnsi="Book Antiqua"/>
          <w:sz w:val="20"/>
          <w:szCs w:val="20"/>
          <w:lang w:val="es-PE"/>
        </w:rPr>
        <w:t xml:space="preserve"> Abdala </w:t>
      </w:r>
      <w:proofErr w:type="spellStart"/>
      <w:r>
        <w:rPr>
          <w:rFonts w:ascii="Book Antiqua" w:eastAsia="Calibri" w:hAnsi="Book Antiqua"/>
          <w:sz w:val="20"/>
          <w:szCs w:val="20"/>
          <w:lang w:val="es-PE"/>
        </w:rPr>
        <w:t>Samhan</w:t>
      </w:r>
      <w:proofErr w:type="spellEnd"/>
      <w:r>
        <w:rPr>
          <w:rFonts w:ascii="Book Antiqua" w:eastAsia="Calibri" w:hAnsi="Book Antiqua"/>
          <w:sz w:val="20"/>
          <w:szCs w:val="20"/>
          <w:lang w:val="es-PE"/>
        </w:rPr>
        <w:t xml:space="preserve"> Graham [Jefe de la Unidad de Asesoría Legal]</w:t>
      </w:r>
    </w:p>
    <w:p w:rsidR="00CE1C62" w:rsidRDefault="00CE1C62" w:rsidP="00CE1C62">
      <w:pPr>
        <w:pStyle w:val="Prrafodelista"/>
        <w:numPr>
          <w:ilvl w:val="1"/>
          <w:numId w:val="21"/>
        </w:numPr>
        <w:autoSpaceDE w:val="0"/>
        <w:autoSpaceDN w:val="0"/>
        <w:adjustRightInd w:val="0"/>
        <w:spacing w:after="0" w:line="240" w:lineRule="auto"/>
        <w:jc w:val="both"/>
        <w:rPr>
          <w:rFonts w:ascii="Book Antiqua" w:eastAsia="Calibri" w:hAnsi="Book Antiqua"/>
          <w:sz w:val="20"/>
          <w:szCs w:val="20"/>
          <w:lang w:val="es-PE"/>
        </w:rPr>
      </w:pPr>
      <w:proofErr w:type="spellStart"/>
      <w:r>
        <w:rPr>
          <w:rFonts w:ascii="Book Antiqua" w:eastAsia="Calibri" w:hAnsi="Book Antiqua"/>
          <w:sz w:val="20"/>
          <w:szCs w:val="20"/>
          <w:lang w:val="es-PE"/>
        </w:rPr>
        <w:t>Aristides</w:t>
      </w:r>
      <w:proofErr w:type="spellEnd"/>
      <w:r>
        <w:rPr>
          <w:rFonts w:ascii="Book Antiqua" w:eastAsia="Calibri" w:hAnsi="Book Antiqua"/>
          <w:sz w:val="20"/>
          <w:szCs w:val="20"/>
          <w:lang w:val="es-PE"/>
        </w:rPr>
        <w:t xml:space="preserve"> </w:t>
      </w:r>
      <w:proofErr w:type="spellStart"/>
      <w:r>
        <w:rPr>
          <w:rFonts w:ascii="Book Antiqua" w:eastAsia="Calibri" w:hAnsi="Book Antiqua"/>
          <w:sz w:val="20"/>
          <w:szCs w:val="20"/>
          <w:lang w:val="es-PE"/>
        </w:rPr>
        <w:t>Atilo</w:t>
      </w:r>
      <w:proofErr w:type="spellEnd"/>
      <w:r>
        <w:rPr>
          <w:rFonts w:ascii="Book Antiqua" w:eastAsia="Calibri" w:hAnsi="Book Antiqua"/>
          <w:sz w:val="20"/>
          <w:szCs w:val="20"/>
          <w:lang w:val="es-PE"/>
        </w:rPr>
        <w:t xml:space="preserve"> Narro Mirando [Jefe de la Unidad de Tesorería]</w:t>
      </w:r>
    </w:p>
    <w:p w:rsidR="00CE1C62" w:rsidRDefault="00CE1C62" w:rsidP="00CE1C62">
      <w:pPr>
        <w:pStyle w:val="Prrafodelista"/>
        <w:numPr>
          <w:ilvl w:val="1"/>
          <w:numId w:val="21"/>
        </w:numPr>
        <w:autoSpaceDE w:val="0"/>
        <w:autoSpaceDN w:val="0"/>
        <w:adjustRightInd w:val="0"/>
        <w:spacing w:after="0" w:line="240" w:lineRule="auto"/>
        <w:jc w:val="both"/>
        <w:rPr>
          <w:rFonts w:ascii="Book Antiqua" w:eastAsia="Calibri" w:hAnsi="Book Antiqua"/>
          <w:sz w:val="20"/>
          <w:szCs w:val="20"/>
          <w:lang w:val="es-PE"/>
        </w:rPr>
      </w:pPr>
      <w:r>
        <w:rPr>
          <w:rFonts w:ascii="Book Antiqua" w:eastAsia="Calibri" w:hAnsi="Book Antiqua"/>
          <w:sz w:val="20"/>
          <w:szCs w:val="20"/>
          <w:lang w:val="es-PE"/>
        </w:rPr>
        <w:t xml:space="preserve">Segundo </w:t>
      </w:r>
      <w:proofErr w:type="spellStart"/>
      <w:r>
        <w:rPr>
          <w:rFonts w:ascii="Book Antiqua" w:eastAsia="Calibri" w:hAnsi="Book Antiqua"/>
          <w:sz w:val="20"/>
          <w:szCs w:val="20"/>
          <w:lang w:val="es-PE"/>
        </w:rPr>
        <w:t>Rudecindo</w:t>
      </w:r>
      <w:proofErr w:type="spellEnd"/>
      <w:r>
        <w:rPr>
          <w:rFonts w:ascii="Book Antiqua" w:eastAsia="Calibri" w:hAnsi="Book Antiqua"/>
          <w:sz w:val="20"/>
          <w:szCs w:val="20"/>
          <w:lang w:val="es-PE"/>
        </w:rPr>
        <w:t xml:space="preserve"> </w:t>
      </w:r>
      <w:proofErr w:type="spellStart"/>
      <w:r>
        <w:rPr>
          <w:rFonts w:ascii="Book Antiqua" w:eastAsia="Calibri" w:hAnsi="Book Antiqua"/>
          <w:sz w:val="20"/>
          <w:szCs w:val="20"/>
          <w:lang w:val="es-PE"/>
        </w:rPr>
        <w:t>Calua</w:t>
      </w:r>
      <w:proofErr w:type="spellEnd"/>
      <w:r>
        <w:rPr>
          <w:rFonts w:ascii="Book Antiqua" w:eastAsia="Calibri" w:hAnsi="Book Antiqua"/>
          <w:sz w:val="20"/>
          <w:szCs w:val="20"/>
          <w:lang w:val="es-PE"/>
        </w:rPr>
        <w:t xml:space="preserve"> Gamarra [Jefe de la Unidad de Adquisiciones]</w:t>
      </w:r>
    </w:p>
    <w:p w:rsidR="00CE1C62" w:rsidRDefault="00CE1C62" w:rsidP="00CE1C62">
      <w:pPr>
        <w:pStyle w:val="Prrafodelista"/>
        <w:numPr>
          <w:ilvl w:val="1"/>
          <w:numId w:val="21"/>
        </w:numPr>
        <w:autoSpaceDE w:val="0"/>
        <w:autoSpaceDN w:val="0"/>
        <w:adjustRightInd w:val="0"/>
        <w:spacing w:after="0" w:line="240" w:lineRule="auto"/>
        <w:jc w:val="both"/>
        <w:rPr>
          <w:rFonts w:ascii="Book Antiqua" w:eastAsia="Calibri" w:hAnsi="Book Antiqua"/>
          <w:sz w:val="20"/>
          <w:szCs w:val="20"/>
          <w:lang w:val="es-PE"/>
        </w:rPr>
      </w:pPr>
      <w:proofErr w:type="spellStart"/>
      <w:r>
        <w:rPr>
          <w:rFonts w:ascii="Book Antiqua" w:eastAsia="Calibri" w:hAnsi="Book Antiqua"/>
          <w:sz w:val="20"/>
          <w:szCs w:val="20"/>
          <w:lang w:val="es-PE"/>
        </w:rPr>
        <w:t>Percy</w:t>
      </w:r>
      <w:proofErr w:type="spellEnd"/>
      <w:r>
        <w:rPr>
          <w:rFonts w:ascii="Book Antiqua" w:eastAsia="Calibri" w:hAnsi="Book Antiqua"/>
          <w:sz w:val="20"/>
          <w:szCs w:val="20"/>
          <w:lang w:val="es-PE"/>
        </w:rPr>
        <w:t xml:space="preserve"> Martín Flores del Castillo [Trabajador de la oficina de programación y presupuesto]</w:t>
      </w:r>
    </w:p>
    <w:p w:rsidR="00CE1C62" w:rsidRDefault="00CE1C62" w:rsidP="00CE1C62">
      <w:pPr>
        <w:pStyle w:val="Prrafodelista"/>
        <w:numPr>
          <w:ilvl w:val="1"/>
          <w:numId w:val="21"/>
        </w:numPr>
        <w:autoSpaceDE w:val="0"/>
        <w:autoSpaceDN w:val="0"/>
        <w:adjustRightInd w:val="0"/>
        <w:spacing w:after="0" w:line="240" w:lineRule="auto"/>
        <w:jc w:val="both"/>
        <w:rPr>
          <w:rFonts w:ascii="Book Antiqua" w:eastAsia="Calibri" w:hAnsi="Book Antiqua"/>
          <w:sz w:val="20"/>
          <w:szCs w:val="20"/>
          <w:lang w:val="es-PE"/>
        </w:rPr>
      </w:pPr>
      <w:r>
        <w:rPr>
          <w:rFonts w:ascii="Book Antiqua" w:eastAsia="Calibri" w:hAnsi="Book Antiqua"/>
          <w:sz w:val="20"/>
          <w:szCs w:val="20"/>
          <w:lang w:val="es-PE"/>
        </w:rPr>
        <w:t>Wilson Manuel Vallejos Díaz [particulares]</w:t>
      </w:r>
    </w:p>
    <w:p w:rsidR="00CE1C62" w:rsidRDefault="00CE1C62" w:rsidP="00CE1C62">
      <w:pPr>
        <w:pStyle w:val="Prrafodelista"/>
        <w:numPr>
          <w:ilvl w:val="1"/>
          <w:numId w:val="21"/>
        </w:numPr>
        <w:autoSpaceDE w:val="0"/>
        <w:autoSpaceDN w:val="0"/>
        <w:adjustRightInd w:val="0"/>
        <w:spacing w:after="0" w:line="240" w:lineRule="auto"/>
        <w:jc w:val="both"/>
        <w:rPr>
          <w:rFonts w:ascii="Book Antiqua" w:eastAsia="Calibri" w:hAnsi="Book Antiqua"/>
          <w:sz w:val="20"/>
          <w:szCs w:val="20"/>
          <w:lang w:val="es-PE"/>
        </w:rPr>
      </w:pPr>
      <w:proofErr w:type="spellStart"/>
      <w:r>
        <w:rPr>
          <w:rFonts w:ascii="Book Antiqua" w:eastAsia="Calibri" w:hAnsi="Book Antiqua"/>
          <w:sz w:val="20"/>
          <w:szCs w:val="20"/>
          <w:lang w:val="es-PE"/>
        </w:rPr>
        <w:t>Crysti</w:t>
      </w:r>
      <w:proofErr w:type="spellEnd"/>
      <w:r>
        <w:rPr>
          <w:rFonts w:ascii="Book Antiqua" w:eastAsia="Calibri" w:hAnsi="Book Antiqua"/>
          <w:sz w:val="20"/>
          <w:szCs w:val="20"/>
          <w:lang w:val="es-PE"/>
        </w:rPr>
        <w:t xml:space="preserve"> Soledad varas </w:t>
      </w:r>
      <w:proofErr w:type="spellStart"/>
      <w:r>
        <w:rPr>
          <w:rFonts w:ascii="Book Antiqua" w:eastAsia="Calibri" w:hAnsi="Book Antiqua"/>
          <w:sz w:val="20"/>
          <w:szCs w:val="20"/>
          <w:lang w:val="es-PE"/>
        </w:rPr>
        <w:t>Langle</w:t>
      </w:r>
      <w:proofErr w:type="spellEnd"/>
      <w:r>
        <w:rPr>
          <w:rFonts w:ascii="Book Antiqua" w:eastAsia="Calibri" w:hAnsi="Book Antiqua"/>
          <w:sz w:val="20"/>
          <w:szCs w:val="20"/>
          <w:lang w:val="es-PE"/>
        </w:rPr>
        <w:t xml:space="preserve">  [particulares]</w:t>
      </w:r>
    </w:p>
    <w:p w:rsidR="00CE1C62" w:rsidRDefault="00CE1C62" w:rsidP="00CE1C62">
      <w:pPr>
        <w:pStyle w:val="Prrafodelista"/>
        <w:numPr>
          <w:ilvl w:val="1"/>
          <w:numId w:val="21"/>
        </w:numPr>
        <w:autoSpaceDE w:val="0"/>
        <w:autoSpaceDN w:val="0"/>
        <w:adjustRightInd w:val="0"/>
        <w:spacing w:after="0" w:line="240" w:lineRule="auto"/>
        <w:jc w:val="both"/>
        <w:rPr>
          <w:rFonts w:ascii="Book Antiqua" w:eastAsia="Calibri" w:hAnsi="Book Antiqua"/>
          <w:sz w:val="20"/>
          <w:szCs w:val="20"/>
          <w:lang w:val="es-PE"/>
        </w:rPr>
      </w:pPr>
      <w:r>
        <w:rPr>
          <w:rFonts w:ascii="Book Antiqua" w:eastAsia="Calibri" w:hAnsi="Book Antiqua"/>
          <w:sz w:val="20"/>
          <w:szCs w:val="20"/>
          <w:lang w:val="es-PE"/>
        </w:rPr>
        <w:t xml:space="preserve">Johan Jerry Zavala </w:t>
      </w:r>
      <w:proofErr w:type="spellStart"/>
      <w:r>
        <w:rPr>
          <w:rFonts w:ascii="Book Antiqua" w:eastAsia="Calibri" w:hAnsi="Book Antiqua"/>
          <w:sz w:val="20"/>
          <w:szCs w:val="20"/>
          <w:lang w:val="es-PE"/>
        </w:rPr>
        <w:t>Ledezma</w:t>
      </w:r>
      <w:proofErr w:type="spellEnd"/>
      <w:r>
        <w:rPr>
          <w:rFonts w:ascii="Book Antiqua" w:eastAsia="Calibri" w:hAnsi="Book Antiqua"/>
          <w:sz w:val="20"/>
          <w:szCs w:val="20"/>
          <w:lang w:val="es-PE"/>
        </w:rPr>
        <w:t xml:space="preserve"> [particulares]</w:t>
      </w:r>
    </w:p>
    <w:p w:rsidR="00CE1C62" w:rsidRDefault="00CE1C62" w:rsidP="00666FD7">
      <w:pPr>
        <w:pStyle w:val="Prrafodelista"/>
        <w:numPr>
          <w:ilvl w:val="0"/>
          <w:numId w:val="21"/>
        </w:numPr>
        <w:autoSpaceDE w:val="0"/>
        <w:autoSpaceDN w:val="0"/>
        <w:adjustRightInd w:val="0"/>
        <w:spacing w:after="0" w:line="240" w:lineRule="auto"/>
        <w:jc w:val="both"/>
        <w:rPr>
          <w:rFonts w:ascii="Book Antiqua" w:eastAsia="Calibri" w:hAnsi="Book Antiqua"/>
          <w:sz w:val="20"/>
          <w:szCs w:val="20"/>
          <w:lang w:val="es-PE"/>
        </w:rPr>
      </w:pPr>
      <w:r>
        <w:rPr>
          <w:rFonts w:ascii="Book Antiqua" w:eastAsia="Calibri" w:hAnsi="Book Antiqua"/>
          <w:sz w:val="20"/>
          <w:szCs w:val="20"/>
          <w:lang w:val="es-PE"/>
        </w:rPr>
        <w:t xml:space="preserve">Existiría una distribución funcional [cada quien con un rol concreto] ya sea aprovechándose de su calidad de funcionario público o de </w:t>
      </w:r>
      <w:proofErr w:type="spellStart"/>
      <w:r>
        <w:rPr>
          <w:rFonts w:ascii="Book Antiqua" w:eastAsia="Calibri" w:hAnsi="Book Antiqua"/>
          <w:sz w:val="20"/>
          <w:szCs w:val="20"/>
          <w:lang w:val="es-PE"/>
        </w:rPr>
        <w:t>extraneus</w:t>
      </w:r>
      <w:proofErr w:type="spellEnd"/>
      <w:r>
        <w:rPr>
          <w:rFonts w:ascii="Book Antiqua" w:eastAsia="Calibri" w:hAnsi="Book Antiqua"/>
          <w:sz w:val="20"/>
          <w:szCs w:val="20"/>
          <w:lang w:val="es-PE"/>
        </w:rPr>
        <w:t xml:space="preserve"> [vinculado a las personas jurídicas que participan en procesos de selección]</w:t>
      </w:r>
    </w:p>
    <w:p w:rsidR="00F85FA8" w:rsidRPr="00666FD7" w:rsidRDefault="00F85FA8" w:rsidP="00666FD7">
      <w:pPr>
        <w:pStyle w:val="Prrafodelista"/>
        <w:numPr>
          <w:ilvl w:val="0"/>
          <w:numId w:val="21"/>
        </w:numPr>
        <w:autoSpaceDE w:val="0"/>
        <w:autoSpaceDN w:val="0"/>
        <w:adjustRightInd w:val="0"/>
        <w:spacing w:after="0" w:line="240" w:lineRule="auto"/>
        <w:jc w:val="both"/>
        <w:rPr>
          <w:rFonts w:ascii="Book Antiqua" w:eastAsia="Calibri" w:hAnsi="Book Antiqua"/>
          <w:sz w:val="20"/>
          <w:szCs w:val="20"/>
          <w:lang w:val="es-PE"/>
        </w:rPr>
      </w:pPr>
      <w:r>
        <w:rPr>
          <w:rFonts w:ascii="Book Antiqua" w:eastAsia="Calibri" w:hAnsi="Book Antiqua"/>
          <w:sz w:val="20"/>
          <w:szCs w:val="20"/>
          <w:lang w:val="es-PE"/>
        </w:rPr>
        <w:t>Existiría una vocación de permanencia, dado que actúa desde el 2011, incluso posteriormente, durante el tiempo que se ejecutó y liquidó los diversos procesos de selección adjudicados al grupo de empresas vinculadas a la asociación ilícita.</w:t>
      </w:r>
    </w:p>
    <w:p w:rsidR="00666FD7" w:rsidRDefault="00666FD7" w:rsidP="00304F41">
      <w:pPr>
        <w:autoSpaceDE w:val="0"/>
        <w:autoSpaceDN w:val="0"/>
        <w:adjustRightInd w:val="0"/>
        <w:spacing w:after="0" w:line="240" w:lineRule="auto"/>
        <w:jc w:val="both"/>
        <w:rPr>
          <w:rFonts w:ascii="Book Antiqua" w:eastAsia="Calibri" w:hAnsi="Book Antiqua"/>
          <w:sz w:val="20"/>
          <w:szCs w:val="20"/>
          <w:highlight w:val="yellow"/>
          <w:lang w:val="es-PE"/>
        </w:rPr>
      </w:pPr>
    </w:p>
    <w:p w:rsidR="00F85FA8" w:rsidRDefault="00F85FA8" w:rsidP="00304F41">
      <w:pPr>
        <w:autoSpaceDE w:val="0"/>
        <w:autoSpaceDN w:val="0"/>
        <w:adjustRightInd w:val="0"/>
        <w:spacing w:after="0" w:line="240" w:lineRule="auto"/>
        <w:jc w:val="both"/>
        <w:rPr>
          <w:rFonts w:ascii="Book Antiqua" w:eastAsia="Calibri" w:hAnsi="Book Antiqua"/>
          <w:sz w:val="20"/>
          <w:szCs w:val="20"/>
          <w:lang w:val="es-PE"/>
        </w:rPr>
      </w:pPr>
      <w:r w:rsidRPr="00F85FA8">
        <w:rPr>
          <w:rFonts w:ascii="Book Antiqua" w:eastAsia="Calibri" w:hAnsi="Book Antiqua"/>
          <w:sz w:val="20"/>
          <w:szCs w:val="20"/>
          <w:lang w:val="es-PE"/>
        </w:rPr>
        <w:t xml:space="preserve">El </w:t>
      </w:r>
      <w:r w:rsidR="0073010B">
        <w:rPr>
          <w:rFonts w:ascii="Book Antiqua" w:eastAsia="Calibri" w:hAnsi="Book Antiqua"/>
          <w:sz w:val="20"/>
          <w:szCs w:val="20"/>
          <w:lang w:val="es-PE"/>
        </w:rPr>
        <w:t>trece de mayo de</w:t>
      </w:r>
      <w:r w:rsidR="00000E1C">
        <w:rPr>
          <w:rFonts w:ascii="Book Antiqua" w:eastAsia="Calibri" w:hAnsi="Book Antiqua"/>
          <w:sz w:val="20"/>
          <w:szCs w:val="20"/>
          <w:lang w:val="es-PE"/>
        </w:rPr>
        <w:t xml:space="preserve"> dos mil catorce</w:t>
      </w:r>
      <w:r>
        <w:rPr>
          <w:rFonts w:ascii="Book Antiqua" w:eastAsia="Calibri" w:hAnsi="Book Antiqua"/>
          <w:sz w:val="20"/>
          <w:szCs w:val="20"/>
          <w:lang w:val="es-PE"/>
        </w:rPr>
        <w:t>:</w:t>
      </w:r>
    </w:p>
    <w:p w:rsidR="00F85FA8" w:rsidRDefault="00F85FA8" w:rsidP="00F85FA8">
      <w:pPr>
        <w:pStyle w:val="Prrafodelista"/>
        <w:numPr>
          <w:ilvl w:val="0"/>
          <w:numId w:val="22"/>
        </w:numPr>
        <w:autoSpaceDE w:val="0"/>
        <w:autoSpaceDN w:val="0"/>
        <w:adjustRightInd w:val="0"/>
        <w:spacing w:after="0" w:line="240" w:lineRule="auto"/>
        <w:jc w:val="both"/>
        <w:rPr>
          <w:rFonts w:ascii="Book Antiqua" w:eastAsia="Calibri" w:hAnsi="Book Antiqua"/>
          <w:sz w:val="20"/>
          <w:szCs w:val="20"/>
          <w:lang w:val="es-PE"/>
        </w:rPr>
      </w:pPr>
      <w:r>
        <w:rPr>
          <w:rFonts w:ascii="Book Antiqua" w:eastAsia="Calibri" w:hAnsi="Book Antiqua"/>
          <w:sz w:val="20"/>
          <w:szCs w:val="20"/>
          <w:lang w:val="es-PE"/>
        </w:rPr>
        <w:t>S</w:t>
      </w:r>
      <w:r w:rsidRPr="00F85FA8">
        <w:rPr>
          <w:rFonts w:ascii="Book Antiqua" w:eastAsia="Calibri" w:hAnsi="Book Antiqua"/>
          <w:sz w:val="20"/>
          <w:szCs w:val="20"/>
          <w:lang w:val="es-PE"/>
        </w:rPr>
        <w:t>e formaliza investigación preparatoria en contra del procesado Gregorio Santos Guerrero y otros, por el delito de colusión y otros, en agravio del Estado</w:t>
      </w:r>
      <w:r>
        <w:rPr>
          <w:rFonts w:ascii="Book Antiqua" w:eastAsia="Calibri" w:hAnsi="Book Antiqua"/>
          <w:sz w:val="20"/>
          <w:szCs w:val="20"/>
          <w:lang w:val="es-PE"/>
        </w:rPr>
        <w:t>.</w:t>
      </w:r>
    </w:p>
    <w:p w:rsidR="00F85FA8" w:rsidRDefault="00F85FA8" w:rsidP="00F85FA8">
      <w:pPr>
        <w:pStyle w:val="Prrafodelista"/>
        <w:numPr>
          <w:ilvl w:val="0"/>
          <w:numId w:val="22"/>
        </w:numPr>
        <w:autoSpaceDE w:val="0"/>
        <w:autoSpaceDN w:val="0"/>
        <w:adjustRightInd w:val="0"/>
        <w:spacing w:after="0" w:line="240" w:lineRule="auto"/>
        <w:jc w:val="both"/>
        <w:rPr>
          <w:rFonts w:ascii="Book Antiqua" w:eastAsia="Calibri" w:hAnsi="Book Antiqua"/>
          <w:sz w:val="20"/>
          <w:szCs w:val="20"/>
          <w:lang w:val="es-PE"/>
        </w:rPr>
      </w:pPr>
      <w:r>
        <w:rPr>
          <w:rFonts w:ascii="Book Antiqua" w:eastAsia="Calibri" w:hAnsi="Book Antiqua"/>
          <w:sz w:val="20"/>
          <w:szCs w:val="20"/>
          <w:lang w:val="es-PE"/>
        </w:rPr>
        <w:t>Se declara compleja la causa y se establece un plazo de 8 meses y se amplió por 11 meses.</w:t>
      </w:r>
    </w:p>
    <w:p w:rsidR="00F85FA8" w:rsidRPr="00F85FA8" w:rsidRDefault="00F85FA8" w:rsidP="00F85FA8">
      <w:pPr>
        <w:pStyle w:val="Prrafodelista"/>
        <w:autoSpaceDE w:val="0"/>
        <w:autoSpaceDN w:val="0"/>
        <w:adjustRightInd w:val="0"/>
        <w:spacing w:after="0" w:line="240" w:lineRule="auto"/>
        <w:ind w:left="774"/>
        <w:jc w:val="both"/>
        <w:rPr>
          <w:rFonts w:ascii="Book Antiqua" w:eastAsia="Calibri" w:hAnsi="Book Antiqua"/>
          <w:sz w:val="20"/>
          <w:szCs w:val="20"/>
          <w:lang w:val="es-PE"/>
        </w:rPr>
      </w:pPr>
    </w:p>
    <w:p w:rsidR="00666FD7" w:rsidRDefault="00A12F80" w:rsidP="00304F41">
      <w:pPr>
        <w:autoSpaceDE w:val="0"/>
        <w:autoSpaceDN w:val="0"/>
        <w:adjustRightInd w:val="0"/>
        <w:spacing w:after="0" w:line="240" w:lineRule="auto"/>
        <w:jc w:val="both"/>
        <w:rPr>
          <w:rFonts w:ascii="Book Antiqua" w:eastAsia="Calibri" w:hAnsi="Book Antiqua"/>
          <w:sz w:val="20"/>
          <w:szCs w:val="20"/>
          <w:lang w:val="es-PE"/>
        </w:rPr>
      </w:pPr>
      <w:r w:rsidRPr="00A12F80">
        <w:rPr>
          <w:rFonts w:ascii="Book Antiqua" w:eastAsia="Calibri" w:hAnsi="Book Antiqua"/>
          <w:sz w:val="20"/>
          <w:szCs w:val="20"/>
          <w:lang w:val="es-PE"/>
        </w:rPr>
        <w:t xml:space="preserve">El </w:t>
      </w:r>
      <w:r w:rsidR="0073010B">
        <w:rPr>
          <w:rFonts w:ascii="Book Antiqua" w:eastAsia="Calibri" w:hAnsi="Book Antiqua"/>
          <w:sz w:val="20"/>
          <w:szCs w:val="20"/>
          <w:lang w:val="es-PE"/>
        </w:rPr>
        <w:t>veinticinco de junio de</w:t>
      </w:r>
      <w:r w:rsidR="00000E1C">
        <w:rPr>
          <w:rFonts w:ascii="Book Antiqua" w:eastAsia="Calibri" w:hAnsi="Book Antiqua"/>
          <w:sz w:val="20"/>
          <w:szCs w:val="20"/>
          <w:lang w:val="es-PE"/>
        </w:rPr>
        <w:t xml:space="preserve"> dos mil catorce</w:t>
      </w:r>
      <w:r>
        <w:rPr>
          <w:rFonts w:ascii="Book Antiqua" w:eastAsia="Calibri" w:hAnsi="Book Antiqua"/>
          <w:sz w:val="20"/>
          <w:szCs w:val="20"/>
          <w:lang w:val="es-PE"/>
        </w:rPr>
        <w:t xml:space="preserve"> se impone prisión preventiva por el plazo de 14 meses.</w:t>
      </w:r>
    </w:p>
    <w:p w:rsidR="00A12F80" w:rsidRDefault="00A12F80" w:rsidP="00304F41">
      <w:pPr>
        <w:autoSpaceDE w:val="0"/>
        <w:autoSpaceDN w:val="0"/>
        <w:adjustRightInd w:val="0"/>
        <w:spacing w:after="0" w:line="240" w:lineRule="auto"/>
        <w:jc w:val="both"/>
        <w:rPr>
          <w:rFonts w:ascii="Book Antiqua" w:eastAsia="Calibri" w:hAnsi="Book Antiqua"/>
          <w:sz w:val="20"/>
          <w:szCs w:val="20"/>
          <w:lang w:val="es-PE"/>
        </w:rPr>
      </w:pPr>
    </w:p>
    <w:p w:rsidR="00A12F80" w:rsidRDefault="00A12F80" w:rsidP="00304F41">
      <w:pPr>
        <w:autoSpaceDE w:val="0"/>
        <w:autoSpaceDN w:val="0"/>
        <w:adjustRightInd w:val="0"/>
        <w:spacing w:after="0" w:line="240" w:lineRule="auto"/>
        <w:jc w:val="both"/>
        <w:rPr>
          <w:rFonts w:ascii="Book Antiqua" w:eastAsia="Calibri" w:hAnsi="Book Antiqua"/>
          <w:sz w:val="20"/>
          <w:szCs w:val="20"/>
          <w:lang w:val="es-PE"/>
        </w:rPr>
      </w:pPr>
      <w:r>
        <w:rPr>
          <w:rFonts w:ascii="Book Antiqua" w:eastAsia="Calibri" w:hAnsi="Book Antiqua"/>
          <w:sz w:val="20"/>
          <w:szCs w:val="20"/>
          <w:lang w:val="es-PE"/>
        </w:rPr>
        <w:t xml:space="preserve">El </w:t>
      </w:r>
      <w:r w:rsidR="0073010B">
        <w:rPr>
          <w:rFonts w:ascii="Book Antiqua" w:eastAsia="Calibri" w:hAnsi="Book Antiqua"/>
          <w:sz w:val="20"/>
          <w:szCs w:val="20"/>
          <w:lang w:val="es-PE"/>
        </w:rPr>
        <w:t>seis de agosto de</w:t>
      </w:r>
      <w:r w:rsidR="00000E1C">
        <w:rPr>
          <w:rFonts w:ascii="Book Antiqua" w:eastAsia="Calibri" w:hAnsi="Book Antiqua"/>
          <w:sz w:val="20"/>
          <w:szCs w:val="20"/>
          <w:lang w:val="es-PE"/>
        </w:rPr>
        <w:t xml:space="preserve"> dos mil catorce</w:t>
      </w:r>
      <w:r>
        <w:rPr>
          <w:rFonts w:ascii="Book Antiqua" w:eastAsia="Calibri" w:hAnsi="Book Antiqua"/>
          <w:sz w:val="20"/>
          <w:szCs w:val="20"/>
          <w:lang w:val="es-PE"/>
        </w:rPr>
        <w:t xml:space="preserve"> el Ministerio Público requiere una prórroga por el plazo de 4 meses [para completar los 18 meses del plazo ordinario] y una prolongación de 18 meses.</w:t>
      </w:r>
    </w:p>
    <w:p w:rsidR="00A12F80" w:rsidRDefault="00A12F80" w:rsidP="00304F41">
      <w:pPr>
        <w:autoSpaceDE w:val="0"/>
        <w:autoSpaceDN w:val="0"/>
        <w:adjustRightInd w:val="0"/>
        <w:spacing w:after="0" w:line="240" w:lineRule="auto"/>
        <w:jc w:val="both"/>
        <w:rPr>
          <w:rFonts w:ascii="Book Antiqua" w:eastAsia="Calibri" w:hAnsi="Book Antiqua"/>
          <w:sz w:val="20"/>
          <w:szCs w:val="20"/>
          <w:lang w:val="es-PE"/>
        </w:rPr>
      </w:pPr>
    </w:p>
    <w:p w:rsidR="00A12F80" w:rsidRDefault="00A12F80" w:rsidP="00304F41">
      <w:pPr>
        <w:autoSpaceDE w:val="0"/>
        <w:autoSpaceDN w:val="0"/>
        <w:adjustRightInd w:val="0"/>
        <w:spacing w:after="0" w:line="240" w:lineRule="auto"/>
        <w:jc w:val="both"/>
        <w:rPr>
          <w:rFonts w:ascii="Book Antiqua" w:eastAsia="Calibri" w:hAnsi="Book Antiqua"/>
          <w:sz w:val="20"/>
          <w:szCs w:val="20"/>
          <w:lang w:val="es-PE"/>
        </w:rPr>
      </w:pPr>
      <w:r>
        <w:rPr>
          <w:rFonts w:ascii="Book Antiqua" w:eastAsia="Calibri" w:hAnsi="Book Antiqua"/>
          <w:sz w:val="20"/>
          <w:szCs w:val="20"/>
          <w:lang w:val="es-PE"/>
        </w:rPr>
        <w:t>El Juzgado de investigación preparatoria resuelve:</w:t>
      </w:r>
    </w:p>
    <w:p w:rsidR="00A12F80" w:rsidRDefault="00361339" w:rsidP="00A12F80">
      <w:pPr>
        <w:pStyle w:val="Prrafodelista"/>
        <w:numPr>
          <w:ilvl w:val="0"/>
          <w:numId w:val="23"/>
        </w:numPr>
        <w:autoSpaceDE w:val="0"/>
        <w:autoSpaceDN w:val="0"/>
        <w:adjustRightInd w:val="0"/>
        <w:spacing w:after="0" w:line="240" w:lineRule="auto"/>
        <w:jc w:val="both"/>
        <w:rPr>
          <w:rFonts w:ascii="Book Antiqua" w:eastAsia="Calibri" w:hAnsi="Book Antiqua"/>
          <w:sz w:val="20"/>
          <w:szCs w:val="20"/>
          <w:lang w:val="es-PE"/>
        </w:rPr>
      </w:pPr>
      <w:r>
        <w:rPr>
          <w:rFonts w:ascii="Book Antiqua" w:eastAsia="Calibri" w:hAnsi="Book Antiqua"/>
          <w:sz w:val="20"/>
          <w:szCs w:val="20"/>
          <w:lang w:val="es-PE"/>
        </w:rPr>
        <w:t>INFUNDADO el pedido de prórroga</w:t>
      </w:r>
    </w:p>
    <w:p w:rsidR="00361339" w:rsidRPr="00A12F80" w:rsidRDefault="00361339" w:rsidP="00A12F80">
      <w:pPr>
        <w:pStyle w:val="Prrafodelista"/>
        <w:numPr>
          <w:ilvl w:val="0"/>
          <w:numId w:val="23"/>
        </w:numPr>
        <w:autoSpaceDE w:val="0"/>
        <w:autoSpaceDN w:val="0"/>
        <w:adjustRightInd w:val="0"/>
        <w:spacing w:after="0" w:line="240" w:lineRule="auto"/>
        <w:jc w:val="both"/>
        <w:rPr>
          <w:rFonts w:ascii="Book Antiqua" w:eastAsia="Calibri" w:hAnsi="Book Antiqua"/>
          <w:sz w:val="20"/>
          <w:szCs w:val="20"/>
          <w:lang w:val="es-PE"/>
        </w:rPr>
      </w:pPr>
      <w:r>
        <w:rPr>
          <w:rFonts w:ascii="Book Antiqua" w:eastAsia="Calibri" w:hAnsi="Book Antiqua"/>
          <w:sz w:val="20"/>
          <w:szCs w:val="20"/>
          <w:lang w:val="es-PE"/>
        </w:rPr>
        <w:t>FUNDADO el pedido de prolongación.</w:t>
      </w:r>
    </w:p>
    <w:p w:rsidR="00A12F80" w:rsidRDefault="00A12F80" w:rsidP="00304F41">
      <w:pPr>
        <w:autoSpaceDE w:val="0"/>
        <w:autoSpaceDN w:val="0"/>
        <w:adjustRightInd w:val="0"/>
        <w:spacing w:after="0" w:line="240" w:lineRule="auto"/>
        <w:jc w:val="both"/>
        <w:rPr>
          <w:rFonts w:ascii="Book Antiqua" w:eastAsia="Calibri" w:hAnsi="Book Antiqua"/>
          <w:sz w:val="20"/>
          <w:szCs w:val="20"/>
          <w:lang w:val="es-PE"/>
        </w:rPr>
      </w:pPr>
    </w:p>
    <w:p w:rsidR="00361339" w:rsidRDefault="00361339" w:rsidP="00304F41">
      <w:pPr>
        <w:autoSpaceDE w:val="0"/>
        <w:autoSpaceDN w:val="0"/>
        <w:adjustRightInd w:val="0"/>
        <w:spacing w:after="0" w:line="240" w:lineRule="auto"/>
        <w:jc w:val="both"/>
        <w:rPr>
          <w:rFonts w:ascii="Book Antiqua" w:eastAsia="Calibri" w:hAnsi="Book Antiqua"/>
          <w:sz w:val="20"/>
          <w:szCs w:val="20"/>
          <w:lang w:val="es-PE"/>
        </w:rPr>
      </w:pPr>
      <w:r>
        <w:rPr>
          <w:rFonts w:ascii="Book Antiqua" w:eastAsia="Calibri" w:hAnsi="Book Antiqua"/>
          <w:sz w:val="20"/>
          <w:szCs w:val="20"/>
          <w:lang w:val="es-PE"/>
        </w:rPr>
        <w:t>Interponen recurso de apelación:</w:t>
      </w:r>
    </w:p>
    <w:p w:rsidR="00361339" w:rsidRDefault="00361339" w:rsidP="00361339">
      <w:pPr>
        <w:pStyle w:val="Prrafodelista"/>
        <w:numPr>
          <w:ilvl w:val="0"/>
          <w:numId w:val="24"/>
        </w:numPr>
        <w:autoSpaceDE w:val="0"/>
        <w:autoSpaceDN w:val="0"/>
        <w:adjustRightInd w:val="0"/>
        <w:spacing w:after="0" w:line="240" w:lineRule="auto"/>
        <w:jc w:val="both"/>
        <w:rPr>
          <w:rFonts w:ascii="Book Antiqua" w:eastAsia="Calibri" w:hAnsi="Book Antiqua"/>
          <w:sz w:val="20"/>
          <w:szCs w:val="20"/>
          <w:lang w:val="es-PE"/>
        </w:rPr>
      </w:pPr>
      <w:r>
        <w:rPr>
          <w:rFonts w:ascii="Book Antiqua" w:eastAsia="Calibri" w:hAnsi="Book Antiqua"/>
          <w:sz w:val="20"/>
          <w:szCs w:val="20"/>
          <w:lang w:val="es-PE"/>
        </w:rPr>
        <w:t>Gregorio Santos Guerrero</w:t>
      </w:r>
    </w:p>
    <w:p w:rsidR="00361339" w:rsidRPr="00361339" w:rsidRDefault="00361339" w:rsidP="00361339">
      <w:pPr>
        <w:pStyle w:val="Prrafodelista"/>
        <w:numPr>
          <w:ilvl w:val="0"/>
          <w:numId w:val="24"/>
        </w:numPr>
        <w:autoSpaceDE w:val="0"/>
        <w:autoSpaceDN w:val="0"/>
        <w:adjustRightInd w:val="0"/>
        <w:spacing w:after="0" w:line="240" w:lineRule="auto"/>
        <w:jc w:val="both"/>
        <w:rPr>
          <w:rFonts w:ascii="Book Antiqua" w:eastAsia="Calibri" w:hAnsi="Book Antiqua"/>
          <w:sz w:val="20"/>
          <w:szCs w:val="20"/>
          <w:lang w:val="es-PE"/>
        </w:rPr>
      </w:pPr>
      <w:r>
        <w:rPr>
          <w:rFonts w:ascii="Book Antiqua" w:eastAsia="Calibri" w:hAnsi="Book Antiqua"/>
          <w:sz w:val="20"/>
          <w:szCs w:val="20"/>
          <w:lang w:val="es-PE"/>
        </w:rPr>
        <w:t>Ministerio Público</w:t>
      </w:r>
    </w:p>
    <w:p w:rsidR="00361339" w:rsidRDefault="00361339" w:rsidP="00304F41">
      <w:pPr>
        <w:autoSpaceDE w:val="0"/>
        <w:autoSpaceDN w:val="0"/>
        <w:adjustRightInd w:val="0"/>
        <w:spacing w:after="0" w:line="240" w:lineRule="auto"/>
        <w:jc w:val="both"/>
        <w:rPr>
          <w:rFonts w:ascii="Book Antiqua" w:eastAsia="Calibri" w:hAnsi="Book Antiqua"/>
          <w:sz w:val="20"/>
          <w:szCs w:val="20"/>
          <w:lang w:val="es-PE"/>
        </w:rPr>
      </w:pPr>
    </w:p>
    <w:p w:rsidR="00361339" w:rsidRDefault="00361339" w:rsidP="00304F41">
      <w:pPr>
        <w:autoSpaceDE w:val="0"/>
        <w:autoSpaceDN w:val="0"/>
        <w:adjustRightInd w:val="0"/>
        <w:spacing w:after="0" w:line="240" w:lineRule="auto"/>
        <w:jc w:val="both"/>
        <w:rPr>
          <w:rFonts w:ascii="Book Antiqua" w:eastAsia="Calibri" w:hAnsi="Book Antiqua"/>
          <w:sz w:val="20"/>
          <w:szCs w:val="20"/>
          <w:lang w:val="es-PE"/>
        </w:rPr>
      </w:pPr>
    </w:p>
    <w:p w:rsidR="00361339" w:rsidRPr="00361339" w:rsidRDefault="00361339" w:rsidP="00361339">
      <w:pPr>
        <w:autoSpaceDE w:val="0"/>
        <w:autoSpaceDN w:val="0"/>
        <w:adjustRightInd w:val="0"/>
        <w:spacing w:after="0" w:line="240" w:lineRule="auto"/>
        <w:jc w:val="both"/>
        <w:rPr>
          <w:rFonts w:ascii="Book Antiqua" w:eastAsia="Calibri" w:hAnsi="Book Antiqua"/>
          <w:b/>
          <w:sz w:val="20"/>
          <w:szCs w:val="20"/>
          <w:u w:val="single"/>
          <w:lang w:val="es-PE"/>
        </w:rPr>
      </w:pPr>
      <w:r w:rsidRPr="00361339">
        <w:rPr>
          <w:rFonts w:ascii="Book Antiqua" w:eastAsia="Calibri" w:hAnsi="Book Antiqua"/>
          <w:b/>
          <w:sz w:val="20"/>
          <w:szCs w:val="20"/>
          <w:u w:val="single"/>
          <w:lang w:val="es-PE"/>
        </w:rPr>
        <w:t xml:space="preserve">Del trámite </w:t>
      </w:r>
      <w:proofErr w:type="spellStart"/>
      <w:r w:rsidRPr="00361339">
        <w:rPr>
          <w:rFonts w:ascii="Book Antiqua" w:eastAsia="Calibri" w:hAnsi="Book Antiqua"/>
          <w:b/>
          <w:sz w:val="20"/>
          <w:szCs w:val="20"/>
          <w:u w:val="single"/>
          <w:lang w:val="es-PE"/>
        </w:rPr>
        <w:t>recursal</w:t>
      </w:r>
      <w:proofErr w:type="spellEnd"/>
      <w:r w:rsidRPr="00361339">
        <w:rPr>
          <w:rFonts w:ascii="Book Antiqua" w:eastAsia="Calibri" w:hAnsi="Book Antiqua"/>
          <w:b/>
          <w:sz w:val="20"/>
          <w:szCs w:val="20"/>
          <w:u w:val="single"/>
          <w:lang w:val="es-PE"/>
        </w:rPr>
        <w:t xml:space="preserve"> en segunda instancia</w:t>
      </w:r>
    </w:p>
    <w:p w:rsidR="00361339" w:rsidRDefault="00361339" w:rsidP="00304F41">
      <w:pPr>
        <w:autoSpaceDE w:val="0"/>
        <w:autoSpaceDN w:val="0"/>
        <w:adjustRightInd w:val="0"/>
        <w:spacing w:after="0" w:line="240" w:lineRule="auto"/>
        <w:jc w:val="both"/>
        <w:rPr>
          <w:rFonts w:ascii="Book Antiqua" w:eastAsia="Calibri" w:hAnsi="Book Antiqua"/>
          <w:sz w:val="20"/>
          <w:szCs w:val="20"/>
          <w:lang w:val="es-PE"/>
        </w:rPr>
      </w:pPr>
    </w:p>
    <w:p w:rsidR="00361339" w:rsidRDefault="00361339" w:rsidP="00304F41">
      <w:pPr>
        <w:autoSpaceDE w:val="0"/>
        <w:autoSpaceDN w:val="0"/>
        <w:adjustRightInd w:val="0"/>
        <w:spacing w:after="0" w:line="240" w:lineRule="auto"/>
        <w:jc w:val="both"/>
        <w:rPr>
          <w:rFonts w:ascii="Book Antiqua" w:eastAsia="Calibri" w:hAnsi="Book Antiqua"/>
          <w:sz w:val="20"/>
          <w:szCs w:val="20"/>
          <w:lang w:val="es-PE"/>
        </w:rPr>
      </w:pPr>
      <w:r>
        <w:rPr>
          <w:rFonts w:ascii="Book Antiqua" w:eastAsia="Calibri" w:hAnsi="Book Antiqua"/>
          <w:sz w:val="20"/>
          <w:szCs w:val="20"/>
          <w:lang w:val="es-PE"/>
        </w:rPr>
        <w:t xml:space="preserve">El </w:t>
      </w:r>
      <w:r w:rsidR="0073010B">
        <w:rPr>
          <w:rFonts w:ascii="Book Antiqua" w:eastAsia="Calibri" w:hAnsi="Book Antiqua"/>
          <w:sz w:val="20"/>
          <w:szCs w:val="20"/>
          <w:lang w:val="es-PE"/>
        </w:rPr>
        <w:t>primero de setiembre de</w:t>
      </w:r>
      <w:r w:rsidR="00000E1C">
        <w:rPr>
          <w:rFonts w:ascii="Book Antiqua" w:eastAsia="Calibri" w:hAnsi="Book Antiqua"/>
          <w:sz w:val="20"/>
          <w:szCs w:val="20"/>
          <w:lang w:val="es-PE"/>
        </w:rPr>
        <w:t xml:space="preserve"> dos mil quince</w:t>
      </w:r>
      <w:r>
        <w:rPr>
          <w:rFonts w:ascii="Book Antiqua" w:eastAsia="Calibri" w:hAnsi="Book Antiqua"/>
          <w:sz w:val="20"/>
          <w:szCs w:val="20"/>
          <w:lang w:val="es-PE"/>
        </w:rPr>
        <w:t xml:space="preserve"> el Colegiado resuelve que se confirme la prolongación de prisión preventiva pero en 11 meses.</w:t>
      </w:r>
    </w:p>
    <w:p w:rsidR="00361339" w:rsidRDefault="00361339" w:rsidP="00361339">
      <w:pPr>
        <w:autoSpaceDE w:val="0"/>
        <w:autoSpaceDN w:val="0"/>
        <w:adjustRightInd w:val="0"/>
        <w:spacing w:after="0" w:line="240" w:lineRule="auto"/>
        <w:jc w:val="both"/>
        <w:rPr>
          <w:rFonts w:ascii="Book Antiqua" w:eastAsia="Calibri" w:hAnsi="Book Antiqua"/>
          <w:sz w:val="20"/>
          <w:szCs w:val="20"/>
          <w:lang w:val="es-PE"/>
        </w:rPr>
      </w:pPr>
    </w:p>
    <w:p w:rsidR="00361339" w:rsidRDefault="00361339" w:rsidP="00361339">
      <w:pPr>
        <w:autoSpaceDE w:val="0"/>
        <w:autoSpaceDN w:val="0"/>
        <w:adjustRightInd w:val="0"/>
        <w:spacing w:after="0" w:line="240" w:lineRule="auto"/>
        <w:jc w:val="both"/>
        <w:rPr>
          <w:rFonts w:ascii="Book Antiqua" w:eastAsia="Calibri" w:hAnsi="Book Antiqua"/>
          <w:sz w:val="20"/>
          <w:szCs w:val="20"/>
          <w:lang w:val="es-PE"/>
        </w:rPr>
      </w:pPr>
      <w:r>
        <w:rPr>
          <w:rFonts w:ascii="Book Antiqua" w:eastAsia="Calibri" w:hAnsi="Book Antiqua"/>
          <w:sz w:val="20"/>
          <w:szCs w:val="20"/>
          <w:lang w:val="es-PE"/>
        </w:rPr>
        <w:t>Interponen recurso de casación:</w:t>
      </w:r>
    </w:p>
    <w:p w:rsidR="00361339" w:rsidRDefault="00361339" w:rsidP="00361339">
      <w:pPr>
        <w:pStyle w:val="Prrafodelista"/>
        <w:numPr>
          <w:ilvl w:val="0"/>
          <w:numId w:val="24"/>
        </w:numPr>
        <w:autoSpaceDE w:val="0"/>
        <w:autoSpaceDN w:val="0"/>
        <w:adjustRightInd w:val="0"/>
        <w:spacing w:after="0" w:line="240" w:lineRule="auto"/>
        <w:jc w:val="both"/>
        <w:rPr>
          <w:rFonts w:ascii="Book Antiqua" w:eastAsia="Calibri" w:hAnsi="Book Antiqua"/>
          <w:sz w:val="20"/>
          <w:szCs w:val="20"/>
          <w:lang w:val="es-PE"/>
        </w:rPr>
      </w:pPr>
      <w:r>
        <w:rPr>
          <w:rFonts w:ascii="Book Antiqua" w:eastAsia="Calibri" w:hAnsi="Book Antiqua"/>
          <w:sz w:val="20"/>
          <w:szCs w:val="20"/>
          <w:lang w:val="es-PE"/>
        </w:rPr>
        <w:t>Gregorio Santos Guerrero</w:t>
      </w:r>
    </w:p>
    <w:p w:rsidR="00361339" w:rsidRPr="00361339" w:rsidRDefault="00361339" w:rsidP="00361339">
      <w:pPr>
        <w:pStyle w:val="Prrafodelista"/>
        <w:numPr>
          <w:ilvl w:val="0"/>
          <w:numId w:val="24"/>
        </w:numPr>
        <w:autoSpaceDE w:val="0"/>
        <w:autoSpaceDN w:val="0"/>
        <w:adjustRightInd w:val="0"/>
        <w:spacing w:after="0" w:line="240" w:lineRule="auto"/>
        <w:jc w:val="both"/>
        <w:rPr>
          <w:rFonts w:ascii="Book Antiqua" w:eastAsia="Calibri" w:hAnsi="Book Antiqua"/>
          <w:sz w:val="20"/>
          <w:szCs w:val="20"/>
          <w:lang w:val="es-PE"/>
        </w:rPr>
      </w:pPr>
      <w:r>
        <w:rPr>
          <w:rFonts w:ascii="Book Antiqua" w:eastAsia="Calibri" w:hAnsi="Book Antiqua"/>
          <w:sz w:val="20"/>
          <w:szCs w:val="20"/>
          <w:lang w:val="es-PE"/>
        </w:rPr>
        <w:t>Ministerio Público</w:t>
      </w:r>
    </w:p>
    <w:p w:rsidR="00304F41" w:rsidRDefault="00304F41" w:rsidP="00591A74">
      <w:pPr>
        <w:autoSpaceDE w:val="0"/>
        <w:autoSpaceDN w:val="0"/>
        <w:adjustRightInd w:val="0"/>
        <w:spacing w:after="0" w:line="240" w:lineRule="auto"/>
        <w:jc w:val="both"/>
        <w:rPr>
          <w:rFonts w:ascii="Book Antiqua" w:eastAsia="Calibri" w:hAnsi="Book Antiqua"/>
          <w:sz w:val="20"/>
          <w:szCs w:val="20"/>
          <w:highlight w:val="yellow"/>
          <w:lang w:val="es-PE"/>
        </w:rPr>
      </w:pPr>
    </w:p>
    <w:p w:rsidR="00361339" w:rsidRPr="00361339" w:rsidRDefault="00361339" w:rsidP="00591A74">
      <w:pPr>
        <w:autoSpaceDE w:val="0"/>
        <w:autoSpaceDN w:val="0"/>
        <w:adjustRightInd w:val="0"/>
        <w:spacing w:after="0" w:line="240" w:lineRule="auto"/>
        <w:jc w:val="both"/>
        <w:rPr>
          <w:rFonts w:ascii="Book Antiqua" w:eastAsia="Calibri" w:hAnsi="Book Antiqua"/>
          <w:sz w:val="20"/>
          <w:szCs w:val="20"/>
          <w:lang w:val="es-PE"/>
        </w:rPr>
      </w:pPr>
    </w:p>
    <w:p w:rsidR="00591A74" w:rsidRPr="00361339" w:rsidRDefault="00D525FA" w:rsidP="00591A74">
      <w:pPr>
        <w:autoSpaceDE w:val="0"/>
        <w:autoSpaceDN w:val="0"/>
        <w:adjustRightInd w:val="0"/>
        <w:spacing w:after="0" w:line="240" w:lineRule="auto"/>
        <w:jc w:val="both"/>
        <w:rPr>
          <w:rFonts w:ascii="Book Antiqua" w:eastAsia="Calibri" w:hAnsi="Book Antiqua"/>
          <w:b/>
          <w:sz w:val="20"/>
          <w:szCs w:val="20"/>
          <w:u w:val="single"/>
          <w:lang w:val="es-PE"/>
        </w:rPr>
      </w:pPr>
      <w:r w:rsidRPr="00361339">
        <w:rPr>
          <w:rFonts w:ascii="Book Antiqua" w:eastAsia="Calibri" w:hAnsi="Book Antiqua"/>
          <w:b/>
          <w:sz w:val="20"/>
          <w:szCs w:val="20"/>
          <w:u w:val="single"/>
          <w:lang w:val="es-PE"/>
        </w:rPr>
        <w:t>Del trámite del recurso de casación</w:t>
      </w:r>
    </w:p>
    <w:p w:rsidR="00361339" w:rsidRDefault="00361339" w:rsidP="00811719">
      <w:pPr>
        <w:autoSpaceDE w:val="0"/>
        <w:autoSpaceDN w:val="0"/>
        <w:adjustRightInd w:val="0"/>
        <w:spacing w:after="0" w:line="240" w:lineRule="auto"/>
        <w:jc w:val="both"/>
        <w:rPr>
          <w:rFonts w:ascii="Book Antiqua" w:eastAsia="Calibri" w:hAnsi="Book Antiqua"/>
          <w:sz w:val="20"/>
          <w:szCs w:val="20"/>
          <w:lang w:val="es-PE"/>
        </w:rPr>
      </w:pPr>
      <w:r>
        <w:rPr>
          <w:rFonts w:ascii="Book Antiqua" w:eastAsia="Calibri" w:hAnsi="Book Antiqua"/>
          <w:sz w:val="20"/>
          <w:szCs w:val="20"/>
          <w:lang w:val="es-PE"/>
        </w:rPr>
        <w:t>El Ministerio Público invoca el inciso 4 del artículo 427, y , el inciso 1 del artículo 429 del Código Procesal Penal sosteniendo:</w:t>
      </w:r>
    </w:p>
    <w:p w:rsidR="000B630C" w:rsidRDefault="000B630C" w:rsidP="00361339">
      <w:pPr>
        <w:pStyle w:val="Prrafodelista"/>
        <w:numPr>
          <w:ilvl w:val="0"/>
          <w:numId w:val="25"/>
        </w:numPr>
        <w:autoSpaceDE w:val="0"/>
        <w:autoSpaceDN w:val="0"/>
        <w:adjustRightInd w:val="0"/>
        <w:spacing w:after="0" w:line="240" w:lineRule="auto"/>
        <w:jc w:val="both"/>
        <w:rPr>
          <w:rFonts w:ascii="Book Antiqua" w:eastAsia="Calibri" w:hAnsi="Book Antiqua"/>
          <w:sz w:val="20"/>
          <w:szCs w:val="20"/>
          <w:lang w:val="es-PE"/>
        </w:rPr>
      </w:pPr>
      <w:r>
        <w:rPr>
          <w:rFonts w:ascii="Book Antiqua" w:eastAsia="Calibri" w:hAnsi="Book Antiqua"/>
          <w:sz w:val="20"/>
          <w:szCs w:val="20"/>
          <w:lang w:val="es-PE"/>
        </w:rPr>
        <w:t>Se vulnera el principio de congruencia procesal; se resuelve más de lo solicitados por las partes.</w:t>
      </w:r>
    </w:p>
    <w:p w:rsidR="00361339" w:rsidRDefault="000B630C" w:rsidP="00361339">
      <w:pPr>
        <w:pStyle w:val="Prrafodelista"/>
        <w:numPr>
          <w:ilvl w:val="0"/>
          <w:numId w:val="25"/>
        </w:numPr>
        <w:autoSpaceDE w:val="0"/>
        <w:autoSpaceDN w:val="0"/>
        <w:adjustRightInd w:val="0"/>
        <w:spacing w:after="0" w:line="240" w:lineRule="auto"/>
        <w:jc w:val="both"/>
        <w:rPr>
          <w:rFonts w:ascii="Book Antiqua" w:eastAsia="Calibri" w:hAnsi="Book Antiqua"/>
          <w:sz w:val="20"/>
          <w:szCs w:val="20"/>
          <w:lang w:val="es-PE"/>
        </w:rPr>
      </w:pPr>
      <w:r>
        <w:rPr>
          <w:rFonts w:ascii="Book Antiqua" w:eastAsia="Calibri" w:hAnsi="Book Antiqua"/>
          <w:sz w:val="20"/>
          <w:szCs w:val="20"/>
          <w:lang w:val="es-PE"/>
        </w:rPr>
        <w:t>El T</w:t>
      </w:r>
      <w:r w:rsidR="00361339">
        <w:rPr>
          <w:rFonts w:ascii="Book Antiqua" w:eastAsia="Calibri" w:hAnsi="Book Antiqua"/>
          <w:sz w:val="20"/>
          <w:szCs w:val="20"/>
          <w:lang w:val="es-PE"/>
        </w:rPr>
        <w:t>ribunal de fallo no debe fundamentar su decisión en temas que no fueron objeto de contradicción oportuna ni alegado por las partes.</w:t>
      </w:r>
    </w:p>
    <w:p w:rsidR="00361339" w:rsidRDefault="000B630C" w:rsidP="00361339">
      <w:pPr>
        <w:pStyle w:val="Prrafodelista"/>
        <w:numPr>
          <w:ilvl w:val="0"/>
          <w:numId w:val="25"/>
        </w:numPr>
        <w:autoSpaceDE w:val="0"/>
        <w:autoSpaceDN w:val="0"/>
        <w:adjustRightInd w:val="0"/>
        <w:spacing w:after="0" w:line="240" w:lineRule="auto"/>
        <w:jc w:val="both"/>
        <w:rPr>
          <w:rFonts w:ascii="Book Antiqua" w:eastAsia="Calibri" w:hAnsi="Book Antiqua"/>
          <w:sz w:val="20"/>
          <w:szCs w:val="20"/>
          <w:lang w:val="es-PE"/>
        </w:rPr>
      </w:pPr>
      <w:r>
        <w:rPr>
          <w:rFonts w:ascii="Book Antiqua" w:eastAsia="Calibri" w:hAnsi="Book Antiqua"/>
          <w:sz w:val="20"/>
          <w:szCs w:val="20"/>
          <w:lang w:val="es-PE"/>
        </w:rPr>
        <w:t>No se cuestiona el plazo de prolongación de prisión preventiva de 18 meses por parte de Gregorio Santos, ni como irracional ni como desproporcional</w:t>
      </w:r>
    </w:p>
    <w:p w:rsidR="000B630C" w:rsidRDefault="000B630C" w:rsidP="00361339">
      <w:pPr>
        <w:pStyle w:val="Prrafodelista"/>
        <w:numPr>
          <w:ilvl w:val="0"/>
          <w:numId w:val="25"/>
        </w:numPr>
        <w:autoSpaceDE w:val="0"/>
        <w:autoSpaceDN w:val="0"/>
        <w:adjustRightInd w:val="0"/>
        <w:spacing w:after="0" w:line="240" w:lineRule="auto"/>
        <w:jc w:val="both"/>
        <w:rPr>
          <w:rFonts w:ascii="Book Antiqua" w:eastAsia="Calibri" w:hAnsi="Book Antiqua"/>
          <w:sz w:val="20"/>
          <w:szCs w:val="20"/>
          <w:lang w:val="es-PE"/>
        </w:rPr>
      </w:pPr>
      <w:r>
        <w:rPr>
          <w:rFonts w:ascii="Book Antiqua" w:eastAsia="Calibri" w:hAnsi="Book Antiqua"/>
          <w:sz w:val="20"/>
          <w:szCs w:val="20"/>
          <w:lang w:val="es-PE"/>
        </w:rPr>
        <w:t>El plazo de prolongación no fue objeto de apelación.</w:t>
      </w:r>
    </w:p>
    <w:p w:rsidR="000B630C" w:rsidRDefault="000B630C" w:rsidP="00361339">
      <w:pPr>
        <w:pStyle w:val="Prrafodelista"/>
        <w:numPr>
          <w:ilvl w:val="0"/>
          <w:numId w:val="25"/>
        </w:numPr>
        <w:autoSpaceDE w:val="0"/>
        <w:autoSpaceDN w:val="0"/>
        <w:adjustRightInd w:val="0"/>
        <w:spacing w:after="0" w:line="240" w:lineRule="auto"/>
        <w:jc w:val="both"/>
        <w:rPr>
          <w:rFonts w:ascii="Book Antiqua" w:eastAsia="Calibri" w:hAnsi="Book Antiqua"/>
          <w:sz w:val="20"/>
          <w:szCs w:val="20"/>
          <w:lang w:val="es-PE"/>
        </w:rPr>
      </w:pPr>
      <w:r>
        <w:rPr>
          <w:rFonts w:ascii="Book Antiqua" w:eastAsia="Calibri" w:hAnsi="Book Antiqua"/>
          <w:sz w:val="20"/>
          <w:szCs w:val="20"/>
          <w:lang w:val="es-PE"/>
        </w:rPr>
        <w:lastRenderedPageBreak/>
        <w:t>El proceso fue declarado hipercomplejo, se reduce el plazo de prolongación de prisión preventiva sin que las partes lo hayan alegado, bajo argumentos individualistas e ilógicos.</w:t>
      </w:r>
    </w:p>
    <w:p w:rsidR="000B630C" w:rsidRDefault="000B630C" w:rsidP="00361339">
      <w:pPr>
        <w:pStyle w:val="Prrafodelista"/>
        <w:numPr>
          <w:ilvl w:val="0"/>
          <w:numId w:val="25"/>
        </w:numPr>
        <w:autoSpaceDE w:val="0"/>
        <w:autoSpaceDN w:val="0"/>
        <w:adjustRightInd w:val="0"/>
        <w:spacing w:after="0" w:line="240" w:lineRule="auto"/>
        <w:jc w:val="both"/>
        <w:rPr>
          <w:rFonts w:ascii="Book Antiqua" w:eastAsia="Calibri" w:hAnsi="Book Antiqua"/>
          <w:sz w:val="20"/>
          <w:szCs w:val="20"/>
          <w:lang w:val="es-PE"/>
        </w:rPr>
      </w:pPr>
      <w:r>
        <w:rPr>
          <w:rFonts w:ascii="Book Antiqua" w:eastAsia="Calibri" w:hAnsi="Book Antiqua"/>
          <w:sz w:val="20"/>
          <w:szCs w:val="20"/>
          <w:lang w:val="es-PE"/>
        </w:rPr>
        <w:t>Reducir el plazo de prolongación de prisión preventiva implica tener una proyección errada de la investigación e ingresar en la competencia del Ministerio Público.</w:t>
      </w:r>
    </w:p>
    <w:p w:rsidR="000B630C" w:rsidRDefault="000B630C" w:rsidP="00361339">
      <w:pPr>
        <w:pStyle w:val="Prrafodelista"/>
        <w:numPr>
          <w:ilvl w:val="0"/>
          <w:numId w:val="25"/>
        </w:numPr>
        <w:autoSpaceDE w:val="0"/>
        <w:autoSpaceDN w:val="0"/>
        <w:adjustRightInd w:val="0"/>
        <w:spacing w:after="0" w:line="240" w:lineRule="auto"/>
        <w:jc w:val="both"/>
        <w:rPr>
          <w:rFonts w:ascii="Book Antiqua" w:eastAsia="Calibri" w:hAnsi="Book Antiqua"/>
          <w:sz w:val="20"/>
          <w:szCs w:val="20"/>
          <w:lang w:val="es-PE"/>
        </w:rPr>
      </w:pPr>
      <w:r>
        <w:rPr>
          <w:rFonts w:ascii="Book Antiqua" w:eastAsia="Calibri" w:hAnsi="Book Antiqua"/>
          <w:sz w:val="20"/>
          <w:szCs w:val="20"/>
          <w:lang w:val="es-PE"/>
        </w:rPr>
        <w:t>El colegiado no tomó en cuenta que los presupuestos han variado desde que se decidió la prisión preventiva porque ahora se trata de un proceso hipercomplejo.</w:t>
      </w:r>
    </w:p>
    <w:p w:rsidR="000B630C" w:rsidRDefault="000B630C" w:rsidP="000B630C">
      <w:pPr>
        <w:pStyle w:val="Prrafodelista"/>
        <w:autoSpaceDE w:val="0"/>
        <w:autoSpaceDN w:val="0"/>
        <w:adjustRightInd w:val="0"/>
        <w:spacing w:after="0" w:line="240" w:lineRule="auto"/>
        <w:jc w:val="both"/>
        <w:rPr>
          <w:rFonts w:ascii="Book Antiqua" w:eastAsia="Calibri" w:hAnsi="Book Antiqua"/>
          <w:sz w:val="20"/>
          <w:szCs w:val="20"/>
          <w:lang w:val="es-PE"/>
        </w:rPr>
      </w:pPr>
    </w:p>
    <w:p w:rsidR="000B630C" w:rsidRPr="000B630C" w:rsidRDefault="000B630C" w:rsidP="000B630C">
      <w:pPr>
        <w:autoSpaceDE w:val="0"/>
        <w:autoSpaceDN w:val="0"/>
        <w:adjustRightInd w:val="0"/>
        <w:spacing w:after="0" w:line="240" w:lineRule="auto"/>
        <w:ind w:left="708"/>
        <w:jc w:val="both"/>
        <w:rPr>
          <w:rFonts w:ascii="Book Antiqua" w:eastAsia="Calibri" w:hAnsi="Book Antiqua"/>
          <w:sz w:val="20"/>
          <w:szCs w:val="20"/>
          <w:lang w:val="es-PE"/>
        </w:rPr>
      </w:pPr>
      <w:r>
        <w:rPr>
          <w:rFonts w:ascii="Book Antiqua" w:eastAsia="Calibri" w:hAnsi="Book Antiqua"/>
          <w:sz w:val="20"/>
          <w:szCs w:val="20"/>
          <w:lang w:val="es-PE"/>
        </w:rPr>
        <w:t>Pide se fije criterio jurisprudencial sobre los alcances del principio de congruencia procesal consagrado en el artículo 409.1 del Código Procesal Penal, para dar respuesta sobre el supuesto si la Sala Superior puede resolver más allá del objeto de apelación, el mismo que solo está delimitado a las partes.</w:t>
      </w:r>
    </w:p>
    <w:p w:rsidR="000B630C" w:rsidRPr="00361339" w:rsidRDefault="000B630C" w:rsidP="000B630C">
      <w:pPr>
        <w:pStyle w:val="Prrafodelista"/>
        <w:autoSpaceDE w:val="0"/>
        <w:autoSpaceDN w:val="0"/>
        <w:adjustRightInd w:val="0"/>
        <w:spacing w:after="0" w:line="240" w:lineRule="auto"/>
        <w:jc w:val="both"/>
        <w:rPr>
          <w:rFonts w:ascii="Book Antiqua" w:eastAsia="Calibri" w:hAnsi="Book Antiqua"/>
          <w:sz w:val="20"/>
          <w:szCs w:val="20"/>
          <w:lang w:val="es-PE"/>
        </w:rPr>
      </w:pPr>
    </w:p>
    <w:p w:rsidR="00F919A6" w:rsidRDefault="00F919A6" w:rsidP="00811719">
      <w:pPr>
        <w:autoSpaceDE w:val="0"/>
        <w:autoSpaceDN w:val="0"/>
        <w:adjustRightInd w:val="0"/>
        <w:spacing w:after="0" w:line="240" w:lineRule="auto"/>
        <w:jc w:val="both"/>
        <w:rPr>
          <w:rFonts w:ascii="Book Antiqua" w:eastAsia="Calibri" w:hAnsi="Book Antiqua"/>
          <w:sz w:val="20"/>
          <w:szCs w:val="20"/>
          <w:lang w:val="es-PE"/>
        </w:rPr>
      </w:pPr>
    </w:p>
    <w:p w:rsidR="00F919A6" w:rsidRDefault="00F919A6" w:rsidP="00811719">
      <w:pPr>
        <w:autoSpaceDE w:val="0"/>
        <w:autoSpaceDN w:val="0"/>
        <w:adjustRightInd w:val="0"/>
        <w:spacing w:after="0" w:line="240" w:lineRule="auto"/>
        <w:jc w:val="both"/>
        <w:rPr>
          <w:rFonts w:ascii="Book Antiqua" w:eastAsia="Calibri" w:hAnsi="Book Antiqua"/>
          <w:sz w:val="20"/>
          <w:szCs w:val="20"/>
          <w:lang w:val="es-PE"/>
        </w:rPr>
      </w:pPr>
      <w:r>
        <w:rPr>
          <w:rFonts w:ascii="Book Antiqua" w:eastAsia="Calibri" w:hAnsi="Book Antiqua"/>
          <w:sz w:val="20"/>
          <w:szCs w:val="20"/>
          <w:lang w:val="es-PE"/>
        </w:rPr>
        <w:t>El recurrente Gregorio Santos Guerrero invoca el inciso 4 del artículo 427 del Código Procesal Penal</w:t>
      </w:r>
      <w:r w:rsidR="00EC2D1E">
        <w:rPr>
          <w:rFonts w:ascii="Book Antiqua" w:eastAsia="Calibri" w:hAnsi="Book Antiqua"/>
          <w:sz w:val="20"/>
          <w:szCs w:val="20"/>
          <w:lang w:val="es-PE"/>
        </w:rPr>
        <w:t xml:space="preserve"> sosteniendo lo siguiente:</w:t>
      </w:r>
    </w:p>
    <w:p w:rsidR="00EC2D1E" w:rsidRDefault="00EC2D1E" w:rsidP="00EC2D1E">
      <w:pPr>
        <w:pStyle w:val="Prrafodelista"/>
        <w:numPr>
          <w:ilvl w:val="0"/>
          <w:numId w:val="26"/>
        </w:numPr>
        <w:autoSpaceDE w:val="0"/>
        <w:autoSpaceDN w:val="0"/>
        <w:adjustRightInd w:val="0"/>
        <w:spacing w:after="0" w:line="240" w:lineRule="auto"/>
        <w:jc w:val="both"/>
        <w:rPr>
          <w:rFonts w:ascii="Book Antiqua" w:eastAsia="Calibri" w:hAnsi="Book Antiqua"/>
          <w:sz w:val="20"/>
          <w:szCs w:val="20"/>
          <w:lang w:val="es-PE"/>
        </w:rPr>
      </w:pPr>
      <w:r>
        <w:rPr>
          <w:rFonts w:ascii="Book Antiqua" w:eastAsia="Calibri" w:hAnsi="Book Antiqua"/>
          <w:sz w:val="20"/>
          <w:szCs w:val="20"/>
          <w:lang w:val="es-PE"/>
        </w:rPr>
        <w:t xml:space="preserve">En la recurrida se deja de lado que la investigación data desde el </w:t>
      </w:r>
      <w:r w:rsidR="0073010B">
        <w:rPr>
          <w:rFonts w:ascii="Book Antiqua" w:eastAsia="Calibri" w:hAnsi="Book Antiqua"/>
          <w:sz w:val="20"/>
          <w:szCs w:val="20"/>
          <w:lang w:val="es-PE"/>
        </w:rPr>
        <w:t>dieciocho de setiembre de dos mil doce</w:t>
      </w:r>
      <w:r>
        <w:rPr>
          <w:rFonts w:ascii="Book Antiqua" w:eastAsia="Calibri" w:hAnsi="Book Antiqua"/>
          <w:sz w:val="20"/>
          <w:szCs w:val="20"/>
          <w:lang w:val="es-PE"/>
        </w:rPr>
        <w:t>, luego se declara compleja e hipercompleja, siendo ésta última una figura que no existe en la Ley.</w:t>
      </w:r>
    </w:p>
    <w:p w:rsidR="00EC2D1E" w:rsidRDefault="00EC2D1E" w:rsidP="00EC2D1E">
      <w:pPr>
        <w:pStyle w:val="Prrafodelista"/>
        <w:numPr>
          <w:ilvl w:val="0"/>
          <w:numId w:val="26"/>
        </w:numPr>
        <w:autoSpaceDE w:val="0"/>
        <w:autoSpaceDN w:val="0"/>
        <w:adjustRightInd w:val="0"/>
        <w:spacing w:after="0" w:line="240" w:lineRule="auto"/>
        <w:jc w:val="both"/>
        <w:rPr>
          <w:rFonts w:ascii="Book Antiqua" w:eastAsia="Calibri" w:hAnsi="Book Antiqua"/>
          <w:sz w:val="20"/>
          <w:szCs w:val="20"/>
          <w:lang w:val="es-PE"/>
        </w:rPr>
      </w:pPr>
      <w:r>
        <w:rPr>
          <w:rFonts w:ascii="Book Antiqua" w:eastAsia="Calibri" w:hAnsi="Book Antiqua"/>
          <w:sz w:val="20"/>
          <w:szCs w:val="20"/>
          <w:lang w:val="es-PE"/>
        </w:rPr>
        <w:t>No se precisa un argumento en relación al peligro procesal.</w:t>
      </w:r>
    </w:p>
    <w:p w:rsidR="00EC2D1E" w:rsidRDefault="00EC2D1E" w:rsidP="00EC2D1E">
      <w:pPr>
        <w:pStyle w:val="Prrafodelista"/>
        <w:numPr>
          <w:ilvl w:val="0"/>
          <w:numId w:val="26"/>
        </w:numPr>
        <w:autoSpaceDE w:val="0"/>
        <w:autoSpaceDN w:val="0"/>
        <w:adjustRightInd w:val="0"/>
        <w:spacing w:after="0" w:line="240" w:lineRule="auto"/>
        <w:jc w:val="both"/>
        <w:rPr>
          <w:rFonts w:ascii="Book Antiqua" w:eastAsia="Calibri" w:hAnsi="Book Antiqua"/>
          <w:sz w:val="20"/>
          <w:szCs w:val="20"/>
          <w:lang w:val="es-PE"/>
        </w:rPr>
      </w:pPr>
      <w:r>
        <w:rPr>
          <w:rFonts w:ascii="Book Antiqua" w:eastAsia="Calibri" w:hAnsi="Book Antiqua"/>
          <w:sz w:val="20"/>
          <w:szCs w:val="20"/>
          <w:lang w:val="es-PE"/>
        </w:rPr>
        <w:t>No existe motivación sobre la razonabilidad y proporcionalidad en relación al plazo de 11 meses.</w:t>
      </w:r>
    </w:p>
    <w:p w:rsidR="00EC2D1E" w:rsidRDefault="00EC2D1E" w:rsidP="009063D4">
      <w:pPr>
        <w:pStyle w:val="Prrafodelista"/>
        <w:autoSpaceDE w:val="0"/>
        <w:autoSpaceDN w:val="0"/>
        <w:adjustRightInd w:val="0"/>
        <w:spacing w:after="0" w:line="240" w:lineRule="auto"/>
        <w:jc w:val="both"/>
        <w:rPr>
          <w:rFonts w:ascii="Book Antiqua" w:eastAsia="Calibri" w:hAnsi="Book Antiqua"/>
          <w:sz w:val="20"/>
          <w:szCs w:val="20"/>
          <w:lang w:val="es-PE"/>
        </w:rPr>
      </w:pPr>
    </w:p>
    <w:p w:rsidR="009063D4" w:rsidRDefault="009063D4" w:rsidP="009063D4">
      <w:pPr>
        <w:pStyle w:val="Prrafodelista"/>
        <w:autoSpaceDE w:val="0"/>
        <w:autoSpaceDN w:val="0"/>
        <w:adjustRightInd w:val="0"/>
        <w:spacing w:after="0" w:line="240" w:lineRule="auto"/>
        <w:jc w:val="both"/>
        <w:rPr>
          <w:rFonts w:ascii="Book Antiqua" w:eastAsia="Calibri" w:hAnsi="Book Antiqua"/>
          <w:sz w:val="20"/>
          <w:szCs w:val="20"/>
          <w:lang w:val="es-PE"/>
        </w:rPr>
      </w:pPr>
      <w:r>
        <w:rPr>
          <w:rFonts w:ascii="Book Antiqua" w:eastAsia="Calibri" w:hAnsi="Book Antiqua"/>
          <w:sz w:val="20"/>
          <w:szCs w:val="20"/>
          <w:lang w:val="es-PE"/>
        </w:rPr>
        <w:t>Se desarrolle doctrina sobre la prolongación de prisión preventiva:</w:t>
      </w:r>
    </w:p>
    <w:p w:rsidR="009063D4" w:rsidRDefault="009063D4" w:rsidP="009063D4">
      <w:pPr>
        <w:pStyle w:val="Prrafodelista"/>
        <w:numPr>
          <w:ilvl w:val="0"/>
          <w:numId w:val="27"/>
        </w:numPr>
        <w:autoSpaceDE w:val="0"/>
        <w:autoSpaceDN w:val="0"/>
        <w:adjustRightInd w:val="0"/>
        <w:spacing w:after="0" w:line="240" w:lineRule="auto"/>
        <w:jc w:val="both"/>
        <w:rPr>
          <w:rFonts w:ascii="Book Antiqua" w:eastAsia="Calibri" w:hAnsi="Book Antiqua"/>
          <w:sz w:val="20"/>
          <w:szCs w:val="20"/>
          <w:lang w:val="es-PE"/>
        </w:rPr>
      </w:pPr>
      <w:r>
        <w:rPr>
          <w:rFonts w:ascii="Book Antiqua" w:eastAsia="Calibri" w:hAnsi="Book Antiqua"/>
          <w:sz w:val="20"/>
          <w:szCs w:val="20"/>
          <w:lang w:val="es-PE"/>
        </w:rPr>
        <w:t>Debiendo estar fundamentado de forma concreta precisándose cuáles son las circunstancias que genera especial dificultad en el desarrollo de la investigación y del proceso.</w:t>
      </w:r>
    </w:p>
    <w:p w:rsidR="009063D4" w:rsidRDefault="009063D4" w:rsidP="009063D4">
      <w:pPr>
        <w:pStyle w:val="Prrafodelista"/>
        <w:numPr>
          <w:ilvl w:val="0"/>
          <w:numId w:val="27"/>
        </w:numPr>
        <w:autoSpaceDE w:val="0"/>
        <w:autoSpaceDN w:val="0"/>
        <w:adjustRightInd w:val="0"/>
        <w:spacing w:after="0" w:line="240" w:lineRule="auto"/>
        <w:jc w:val="both"/>
        <w:rPr>
          <w:rFonts w:ascii="Book Antiqua" w:eastAsia="Calibri" w:hAnsi="Book Antiqua"/>
          <w:sz w:val="20"/>
          <w:szCs w:val="20"/>
          <w:lang w:val="es-PE"/>
        </w:rPr>
      </w:pPr>
      <w:r>
        <w:rPr>
          <w:rFonts w:ascii="Book Antiqua" w:eastAsia="Calibri" w:hAnsi="Book Antiqua"/>
          <w:sz w:val="20"/>
          <w:szCs w:val="20"/>
          <w:lang w:val="es-PE"/>
        </w:rPr>
        <w:t>Para que no se respalde en la complejidad desde el inicio del a causa.</w:t>
      </w:r>
    </w:p>
    <w:p w:rsidR="00811719" w:rsidRDefault="00811719" w:rsidP="00811719">
      <w:pPr>
        <w:autoSpaceDE w:val="0"/>
        <w:autoSpaceDN w:val="0"/>
        <w:adjustRightInd w:val="0"/>
        <w:spacing w:after="0" w:line="240" w:lineRule="auto"/>
        <w:jc w:val="both"/>
        <w:rPr>
          <w:rFonts w:ascii="Book Antiqua" w:eastAsia="Calibri" w:hAnsi="Book Antiqua"/>
          <w:sz w:val="20"/>
          <w:szCs w:val="20"/>
          <w:highlight w:val="yellow"/>
          <w:lang w:val="es-PE"/>
        </w:rPr>
      </w:pPr>
    </w:p>
    <w:p w:rsidR="00404973" w:rsidRDefault="009063D4" w:rsidP="00811719">
      <w:pPr>
        <w:autoSpaceDE w:val="0"/>
        <w:autoSpaceDN w:val="0"/>
        <w:adjustRightInd w:val="0"/>
        <w:spacing w:after="0" w:line="240" w:lineRule="auto"/>
        <w:jc w:val="both"/>
        <w:rPr>
          <w:rFonts w:ascii="Book Antiqua" w:eastAsia="Calibri" w:hAnsi="Book Antiqua"/>
          <w:sz w:val="20"/>
          <w:szCs w:val="20"/>
          <w:lang w:val="es-PE"/>
        </w:rPr>
      </w:pPr>
      <w:r w:rsidRPr="009063D4">
        <w:rPr>
          <w:rFonts w:ascii="Book Antiqua" w:eastAsia="Calibri" w:hAnsi="Book Antiqua"/>
          <w:sz w:val="20"/>
          <w:szCs w:val="20"/>
          <w:lang w:val="es-PE"/>
        </w:rPr>
        <w:t xml:space="preserve">El </w:t>
      </w:r>
      <w:r w:rsidR="0073010B">
        <w:rPr>
          <w:rFonts w:ascii="Book Antiqua" w:eastAsia="Calibri" w:hAnsi="Book Antiqua"/>
          <w:sz w:val="20"/>
          <w:szCs w:val="20"/>
          <w:lang w:val="es-PE"/>
        </w:rPr>
        <w:t>veintidós de abril de</w:t>
      </w:r>
      <w:bookmarkStart w:id="0" w:name="_GoBack"/>
      <w:bookmarkEnd w:id="0"/>
      <w:r w:rsidR="00000E1C">
        <w:rPr>
          <w:rFonts w:ascii="Book Antiqua" w:eastAsia="Calibri" w:hAnsi="Book Antiqua"/>
          <w:sz w:val="20"/>
          <w:szCs w:val="20"/>
          <w:lang w:val="es-PE"/>
        </w:rPr>
        <w:t xml:space="preserve"> dos mil dieciséis </w:t>
      </w:r>
      <w:r>
        <w:rPr>
          <w:rFonts w:ascii="Book Antiqua" w:eastAsia="Calibri" w:hAnsi="Book Antiqua"/>
          <w:sz w:val="20"/>
          <w:szCs w:val="20"/>
          <w:lang w:val="es-PE"/>
        </w:rPr>
        <w:t>el Tribunal Supremo concede el recurso de casación señalando que es necesario desarrollar jurisprudencialmente</w:t>
      </w:r>
      <w:r w:rsidR="00404973">
        <w:rPr>
          <w:rFonts w:ascii="Book Antiqua" w:eastAsia="Calibri" w:hAnsi="Book Antiqua"/>
          <w:sz w:val="20"/>
          <w:szCs w:val="20"/>
          <w:lang w:val="es-PE"/>
        </w:rPr>
        <w:t xml:space="preserve"> sobre:</w:t>
      </w:r>
    </w:p>
    <w:p w:rsidR="00404973" w:rsidRDefault="00404973" w:rsidP="00404973">
      <w:pPr>
        <w:pStyle w:val="Prrafodelista"/>
        <w:numPr>
          <w:ilvl w:val="0"/>
          <w:numId w:val="28"/>
        </w:numPr>
        <w:autoSpaceDE w:val="0"/>
        <w:autoSpaceDN w:val="0"/>
        <w:adjustRightInd w:val="0"/>
        <w:spacing w:after="0" w:line="240" w:lineRule="auto"/>
        <w:jc w:val="both"/>
        <w:rPr>
          <w:rFonts w:ascii="Book Antiqua" w:eastAsia="Calibri" w:hAnsi="Book Antiqua"/>
          <w:sz w:val="20"/>
          <w:szCs w:val="20"/>
          <w:lang w:val="es-PE"/>
        </w:rPr>
      </w:pPr>
      <w:r>
        <w:rPr>
          <w:rFonts w:ascii="Book Antiqua" w:eastAsia="Calibri" w:hAnsi="Book Antiqua"/>
          <w:sz w:val="20"/>
          <w:szCs w:val="20"/>
          <w:lang w:val="es-PE"/>
        </w:rPr>
        <w:t>La prórroga de prisión preventiva</w:t>
      </w:r>
    </w:p>
    <w:p w:rsidR="00547451" w:rsidRDefault="00860814" w:rsidP="00547451">
      <w:pPr>
        <w:pStyle w:val="Prrafodelista"/>
        <w:numPr>
          <w:ilvl w:val="0"/>
          <w:numId w:val="28"/>
        </w:numPr>
        <w:autoSpaceDE w:val="0"/>
        <w:autoSpaceDN w:val="0"/>
        <w:adjustRightInd w:val="0"/>
        <w:spacing w:after="0" w:line="240" w:lineRule="auto"/>
        <w:jc w:val="both"/>
        <w:rPr>
          <w:rFonts w:ascii="Book Antiqua" w:eastAsia="Calibri" w:hAnsi="Book Antiqua"/>
          <w:sz w:val="20"/>
          <w:szCs w:val="20"/>
          <w:lang w:val="es-PE"/>
        </w:rPr>
      </w:pPr>
      <w:r>
        <w:rPr>
          <w:rFonts w:ascii="Book Antiqua" w:eastAsia="Calibri" w:hAnsi="Book Antiqua"/>
          <w:sz w:val="20"/>
          <w:szCs w:val="20"/>
          <w:lang w:val="es-PE"/>
        </w:rPr>
        <w:t>La congruencia procesal</w:t>
      </w:r>
    </w:p>
    <w:p w:rsidR="00404973" w:rsidRDefault="00547451" w:rsidP="00547451">
      <w:pPr>
        <w:pStyle w:val="Prrafodelista"/>
        <w:numPr>
          <w:ilvl w:val="0"/>
          <w:numId w:val="28"/>
        </w:numPr>
        <w:autoSpaceDE w:val="0"/>
        <w:autoSpaceDN w:val="0"/>
        <w:adjustRightInd w:val="0"/>
        <w:spacing w:after="0" w:line="240" w:lineRule="auto"/>
        <w:jc w:val="both"/>
        <w:rPr>
          <w:rFonts w:ascii="Book Antiqua" w:eastAsia="Calibri" w:hAnsi="Book Antiqua"/>
          <w:sz w:val="20"/>
          <w:szCs w:val="20"/>
          <w:lang w:val="es-PE"/>
        </w:rPr>
      </w:pPr>
      <w:r>
        <w:rPr>
          <w:rFonts w:ascii="Book Antiqua" w:eastAsia="Calibri" w:hAnsi="Book Antiqua"/>
          <w:sz w:val="20"/>
          <w:szCs w:val="20"/>
          <w:lang w:val="es-PE"/>
        </w:rPr>
        <w:t>Que l</w:t>
      </w:r>
      <w:r w:rsidRPr="00547451">
        <w:rPr>
          <w:rFonts w:ascii="Book Antiqua" w:eastAsia="Calibri" w:hAnsi="Book Antiqua"/>
          <w:sz w:val="20"/>
          <w:szCs w:val="20"/>
          <w:lang w:val="es-PE"/>
        </w:rPr>
        <w:t>a prolongación de la prisión preventiva</w:t>
      </w:r>
      <w:r>
        <w:rPr>
          <w:rFonts w:ascii="Book Antiqua" w:eastAsia="Calibri" w:hAnsi="Book Antiqua"/>
          <w:sz w:val="20"/>
          <w:szCs w:val="20"/>
          <w:lang w:val="es-PE"/>
        </w:rPr>
        <w:t xml:space="preserve"> no debe ser respaldarse en la complejidad establecida desde el inicio de la causa.</w:t>
      </w:r>
    </w:p>
    <w:p w:rsidR="00547451" w:rsidRPr="00547451" w:rsidRDefault="00547451" w:rsidP="00547451">
      <w:pPr>
        <w:pStyle w:val="Prrafodelista"/>
        <w:numPr>
          <w:ilvl w:val="0"/>
          <w:numId w:val="28"/>
        </w:numPr>
        <w:autoSpaceDE w:val="0"/>
        <w:autoSpaceDN w:val="0"/>
        <w:adjustRightInd w:val="0"/>
        <w:spacing w:after="0" w:line="240" w:lineRule="auto"/>
        <w:jc w:val="both"/>
        <w:rPr>
          <w:rFonts w:ascii="Book Antiqua" w:eastAsia="Calibri" w:hAnsi="Book Antiqua"/>
          <w:sz w:val="20"/>
          <w:szCs w:val="20"/>
          <w:lang w:val="es-PE"/>
        </w:rPr>
      </w:pPr>
      <w:r>
        <w:rPr>
          <w:rFonts w:ascii="Book Antiqua" w:eastAsia="Calibri" w:hAnsi="Book Antiqua"/>
          <w:sz w:val="20"/>
          <w:szCs w:val="20"/>
          <w:lang w:val="es-PE"/>
        </w:rPr>
        <w:t>El plazo de investigación preparatoria.</w:t>
      </w:r>
    </w:p>
    <w:p w:rsidR="009063D4" w:rsidRPr="00ED64A8" w:rsidRDefault="009063D4" w:rsidP="00811719">
      <w:pPr>
        <w:autoSpaceDE w:val="0"/>
        <w:autoSpaceDN w:val="0"/>
        <w:adjustRightInd w:val="0"/>
        <w:spacing w:after="0" w:line="240" w:lineRule="auto"/>
        <w:jc w:val="both"/>
        <w:rPr>
          <w:rFonts w:ascii="Book Antiqua" w:eastAsia="Calibri" w:hAnsi="Book Antiqua"/>
          <w:sz w:val="20"/>
          <w:szCs w:val="20"/>
          <w:lang w:val="es-PE"/>
        </w:rPr>
      </w:pPr>
    </w:p>
    <w:p w:rsidR="00D92924" w:rsidRPr="00ED64A8" w:rsidRDefault="00D92924" w:rsidP="00591A74">
      <w:pPr>
        <w:autoSpaceDE w:val="0"/>
        <w:autoSpaceDN w:val="0"/>
        <w:adjustRightInd w:val="0"/>
        <w:spacing w:after="0" w:line="240" w:lineRule="auto"/>
        <w:jc w:val="both"/>
        <w:rPr>
          <w:rFonts w:ascii="Book Antiqua" w:eastAsia="Calibri" w:hAnsi="Book Antiqua"/>
          <w:sz w:val="20"/>
          <w:szCs w:val="20"/>
          <w:lang w:val="es-PE"/>
        </w:rPr>
      </w:pPr>
    </w:p>
    <w:p w:rsidR="00591A74" w:rsidRPr="00ED64A8" w:rsidRDefault="00591A74" w:rsidP="00591A74">
      <w:pPr>
        <w:spacing w:line="240" w:lineRule="auto"/>
        <w:jc w:val="both"/>
        <w:rPr>
          <w:rFonts w:ascii="Book Antiqua" w:eastAsia="Calibri" w:hAnsi="Book Antiqua"/>
          <w:b/>
          <w:bCs/>
          <w:smallCaps/>
          <w:color w:val="000000"/>
          <w:spacing w:val="5"/>
          <w:sz w:val="20"/>
          <w:szCs w:val="20"/>
          <w:u w:val="single"/>
          <w:lang w:val="es-PE"/>
        </w:rPr>
      </w:pPr>
      <w:r w:rsidRPr="00ED64A8">
        <w:rPr>
          <w:rFonts w:ascii="Book Antiqua" w:eastAsia="Calibri" w:hAnsi="Book Antiqua"/>
          <w:color w:val="000000"/>
          <w:sz w:val="20"/>
          <w:szCs w:val="20"/>
          <w:u w:val="single"/>
          <w:lang w:val="es-PE"/>
        </w:rPr>
        <w:t>[</w:t>
      </w:r>
      <w:r w:rsidRPr="00ED64A8">
        <w:rPr>
          <w:rFonts w:ascii="Book Antiqua" w:eastAsia="Calibri" w:hAnsi="Book Antiqua"/>
          <w:b/>
          <w:bCs/>
          <w:smallCaps/>
          <w:color w:val="000000"/>
          <w:spacing w:val="5"/>
          <w:sz w:val="20"/>
          <w:szCs w:val="20"/>
          <w:u w:val="single"/>
          <w:lang w:val="es-PE"/>
        </w:rPr>
        <w:t>Referencias normativas]</w:t>
      </w:r>
    </w:p>
    <w:p w:rsidR="00C66D86" w:rsidRDefault="00ED64A8" w:rsidP="00ED64A8">
      <w:pPr>
        <w:pStyle w:val="Sinespaciado"/>
        <w:numPr>
          <w:ilvl w:val="0"/>
          <w:numId w:val="30"/>
        </w:numPr>
        <w:rPr>
          <w:rFonts w:ascii="Book Antiqua" w:eastAsia="Calibri" w:hAnsi="Book Antiqua"/>
          <w:sz w:val="20"/>
          <w:szCs w:val="20"/>
          <w:lang w:val="es-PE"/>
        </w:rPr>
      </w:pPr>
      <w:r>
        <w:rPr>
          <w:rFonts w:ascii="Book Antiqua" w:eastAsia="Calibri" w:hAnsi="Book Antiqua"/>
          <w:sz w:val="20"/>
          <w:szCs w:val="20"/>
          <w:lang w:val="es-PE"/>
        </w:rPr>
        <w:t>Código Procesal Penal:</w:t>
      </w:r>
    </w:p>
    <w:p w:rsidR="00ED64A8" w:rsidRDefault="00ED64A8" w:rsidP="00ED64A8">
      <w:pPr>
        <w:pStyle w:val="Sinespaciado"/>
        <w:numPr>
          <w:ilvl w:val="1"/>
          <w:numId w:val="30"/>
        </w:numPr>
        <w:rPr>
          <w:rFonts w:ascii="Book Antiqua" w:eastAsia="Calibri" w:hAnsi="Book Antiqua"/>
          <w:sz w:val="20"/>
          <w:szCs w:val="20"/>
          <w:lang w:val="es-PE"/>
        </w:rPr>
      </w:pPr>
      <w:r>
        <w:rPr>
          <w:rFonts w:ascii="Book Antiqua" w:eastAsia="Calibri" w:hAnsi="Book Antiqua"/>
          <w:sz w:val="20"/>
          <w:szCs w:val="20"/>
          <w:lang w:val="es-PE"/>
        </w:rPr>
        <w:t>Artículos 150, 253 [incisos 1, 2 y 3], 255, 272, 274, 342.2 y 409.1.</w:t>
      </w:r>
    </w:p>
    <w:p w:rsidR="00ED64A8" w:rsidRDefault="00ED64A8" w:rsidP="00ED64A8">
      <w:pPr>
        <w:pStyle w:val="Sinespaciado"/>
        <w:numPr>
          <w:ilvl w:val="1"/>
          <w:numId w:val="30"/>
        </w:numPr>
        <w:rPr>
          <w:rFonts w:ascii="Book Antiqua" w:eastAsia="Calibri" w:hAnsi="Book Antiqua"/>
          <w:sz w:val="20"/>
          <w:szCs w:val="20"/>
          <w:lang w:val="es-PE"/>
        </w:rPr>
      </w:pPr>
      <w:r>
        <w:rPr>
          <w:rFonts w:ascii="Book Antiqua" w:eastAsia="Calibri" w:hAnsi="Book Antiqua"/>
          <w:sz w:val="20"/>
          <w:szCs w:val="20"/>
          <w:lang w:val="es-PE"/>
        </w:rPr>
        <w:t>Artículos VI y VII del Título Preliminar.</w:t>
      </w:r>
    </w:p>
    <w:p w:rsidR="00ED64A8" w:rsidRDefault="00ED64A8" w:rsidP="00ED64A8">
      <w:pPr>
        <w:pStyle w:val="Sinespaciado"/>
        <w:ind w:left="720"/>
        <w:rPr>
          <w:rFonts w:ascii="Book Antiqua" w:eastAsia="Calibri" w:hAnsi="Book Antiqua"/>
          <w:sz w:val="20"/>
          <w:szCs w:val="20"/>
          <w:lang w:val="es-PE"/>
        </w:rPr>
      </w:pPr>
    </w:p>
    <w:p w:rsidR="00ED64A8" w:rsidRPr="00ED64A8" w:rsidRDefault="00ED64A8" w:rsidP="00ED64A8">
      <w:pPr>
        <w:pStyle w:val="Sinespaciado"/>
        <w:numPr>
          <w:ilvl w:val="0"/>
          <w:numId w:val="30"/>
        </w:numPr>
        <w:rPr>
          <w:rFonts w:ascii="Book Antiqua" w:eastAsia="Calibri" w:hAnsi="Book Antiqua"/>
          <w:sz w:val="20"/>
          <w:szCs w:val="20"/>
          <w:lang w:val="es-PE"/>
        </w:rPr>
      </w:pPr>
      <w:r>
        <w:rPr>
          <w:rFonts w:ascii="Book Antiqua" w:eastAsia="Calibri" w:hAnsi="Book Antiqua"/>
          <w:sz w:val="20"/>
          <w:szCs w:val="20"/>
          <w:lang w:val="es-PE"/>
        </w:rPr>
        <w:t>Artículo VII del Título Preliminar del Código Procesal Civil</w:t>
      </w:r>
    </w:p>
    <w:p w:rsidR="00C66D86" w:rsidRPr="00ED64A8" w:rsidRDefault="00C66D86" w:rsidP="00BA48DF">
      <w:pPr>
        <w:pStyle w:val="Sinespaciado"/>
        <w:rPr>
          <w:rFonts w:ascii="Book Antiqua" w:eastAsia="Calibri" w:hAnsi="Book Antiqua"/>
          <w:sz w:val="20"/>
          <w:szCs w:val="20"/>
          <w:lang w:val="es-PE"/>
        </w:rPr>
      </w:pPr>
    </w:p>
    <w:p w:rsidR="00E2022F" w:rsidRPr="00404973" w:rsidRDefault="00E2022F" w:rsidP="00E2022F">
      <w:pPr>
        <w:spacing w:line="240" w:lineRule="auto"/>
        <w:jc w:val="both"/>
        <w:rPr>
          <w:rFonts w:ascii="Book Antiqua" w:eastAsia="Calibri" w:hAnsi="Book Antiqua"/>
          <w:b/>
          <w:bCs/>
          <w:smallCaps/>
          <w:color w:val="000000"/>
          <w:spacing w:val="5"/>
          <w:sz w:val="20"/>
          <w:szCs w:val="20"/>
          <w:u w:val="single"/>
          <w:lang w:val="es-PE"/>
        </w:rPr>
      </w:pPr>
      <w:r w:rsidRPr="00ED64A8">
        <w:rPr>
          <w:rFonts w:ascii="Book Antiqua" w:eastAsia="Calibri" w:hAnsi="Book Antiqua"/>
          <w:color w:val="000000"/>
          <w:sz w:val="20"/>
          <w:szCs w:val="20"/>
          <w:u w:val="single"/>
          <w:lang w:val="es-PE"/>
        </w:rPr>
        <w:t>[</w:t>
      </w:r>
      <w:r w:rsidRPr="00ED64A8">
        <w:rPr>
          <w:rFonts w:ascii="Book Antiqua" w:eastAsia="Calibri" w:hAnsi="Book Antiqua"/>
          <w:b/>
          <w:bCs/>
          <w:smallCaps/>
          <w:color w:val="000000"/>
          <w:spacing w:val="5"/>
          <w:sz w:val="20"/>
          <w:szCs w:val="20"/>
          <w:u w:val="single"/>
          <w:lang w:val="es-PE"/>
        </w:rPr>
        <w:t>Referencias</w:t>
      </w:r>
      <w:r w:rsidRPr="00404973">
        <w:rPr>
          <w:rFonts w:ascii="Book Antiqua" w:eastAsia="Calibri" w:hAnsi="Book Antiqua"/>
          <w:b/>
          <w:bCs/>
          <w:smallCaps/>
          <w:color w:val="000000"/>
          <w:spacing w:val="5"/>
          <w:sz w:val="20"/>
          <w:szCs w:val="20"/>
          <w:u w:val="single"/>
          <w:lang w:val="es-PE"/>
        </w:rPr>
        <w:t xml:space="preserve"> de casos]</w:t>
      </w:r>
    </w:p>
    <w:p w:rsidR="00C66D86" w:rsidRDefault="00404973" w:rsidP="00404973">
      <w:pPr>
        <w:pStyle w:val="Sinespaciado"/>
        <w:numPr>
          <w:ilvl w:val="0"/>
          <w:numId w:val="29"/>
        </w:numPr>
        <w:rPr>
          <w:rFonts w:ascii="Book Antiqua" w:eastAsia="Calibri" w:hAnsi="Book Antiqua"/>
          <w:sz w:val="20"/>
          <w:szCs w:val="20"/>
          <w:lang w:val="es-PE"/>
        </w:rPr>
      </w:pPr>
      <w:r>
        <w:rPr>
          <w:rFonts w:ascii="Book Antiqua" w:eastAsia="Calibri" w:hAnsi="Book Antiqua"/>
          <w:sz w:val="20"/>
          <w:szCs w:val="20"/>
          <w:lang w:val="es-PE"/>
        </w:rPr>
        <w:t>CASACIÓN N° 389-2014, San Martín, Sala Penal Permanente, del 07.10.2015</w:t>
      </w:r>
    </w:p>
    <w:p w:rsidR="003D7FA3" w:rsidRDefault="003D7FA3" w:rsidP="003D7FA3">
      <w:pPr>
        <w:pStyle w:val="Sinespaciado"/>
        <w:numPr>
          <w:ilvl w:val="0"/>
          <w:numId w:val="29"/>
        </w:numPr>
        <w:rPr>
          <w:rFonts w:ascii="Book Antiqua" w:eastAsia="Calibri" w:hAnsi="Book Antiqua"/>
          <w:sz w:val="20"/>
          <w:szCs w:val="20"/>
          <w:lang w:val="es-PE"/>
        </w:rPr>
      </w:pPr>
      <w:r>
        <w:rPr>
          <w:rFonts w:ascii="Book Antiqua" w:eastAsia="Calibri" w:hAnsi="Book Antiqua"/>
          <w:sz w:val="20"/>
          <w:szCs w:val="20"/>
          <w:lang w:val="es-PE"/>
        </w:rPr>
        <w:t>CASACIÓN N° 626-2013, Moquegua, Sala Penal Permanente, del 30.06.2015</w:t>
      </w:r>
    </w:p>
    <w:p w:rsidR="00401012" w:rsidRDefault="00401012" w:rsidP="00401012">
      <w:pPr>
        <w:pStyle w:val="Sinespaciado"/>
        <w:numPr>
          <w:ilvl w:val="0"/>
          <w:numId w:val="29"/>
        </w:numPr>
        <w:rPr>
          <w:rFonts w:ascii="Book Antiqua" w:eastAsia="Calibri" w:hAnsi="Book Antiqua"/>
          <w:sz w:val="20"/>
          <w:szCs w:val="20"/>
          <w:lang w:val="es-PE"/>
        </w:rPr>
      </w:pPr>
      <w:r>
        <w:rPr>
          <w:rFonts w:ascii="Book Antiqua" w:eastAsia="Calibri" w:hAnsi="Book Antiqua"/>
          <w:sz w:val="20"/>
          <w:szCs w:val="20"/>
          <w:lang w:val="es-PE"/>
        </w:rPr>
        <w:t>CASACIÓN N° 399-2015, Sala Penal Permanente, del 29.03.2016</w:t>
      </w:r>
    </w:p>
    <w:p w:rsidR="00860814" w:rsidRDefault="00860814" w:rsidP="00404973">
      <w:pPr>
        <w:pStyle w:val="Sinespaciado"/>
        <w:numPr>
          <w:ilvl w:val="0"/>
          <w:numId w:val="29"/>
        </w:numPr>
        <w:rPr>
          <w:rFonts w:ascii="Book Antiqua" w:eastAsia="Calibri" w:hAnsi="Book Antiqua"/>
          <w:sz w:val="20"/>
          <w:szCs w:val="20"/>
          <w:lang w:val="es-PE"/>
        </w:rPr>
      </w:pPr>
      <w:r>
        <w:rPr>
          <w:rFonts w:ascii="Book Antiqua" w:eastAsia="Calibri" w:hAnsi="Book Antiqua"/>
          <w:sz w:val="20"/>
          <w:szCs w:val="20"/>
          <w:lang w:val="es-PE"/>
        </w:rPr>
        <w:t>CASACIÓN N° 430-2015-Lima, Sala Penal Transitoria, de fecha 28.06.2016.</w:t>
      </w:r>
    </w:p>
    <w:p w:rsidR="00860814" w:rsidRDefault="00860814" w:rsidP="00404973">
      <w:pPr>
        <w:pStyle w:val="Sinespaciado"/>
        <w:numPr>
          <w:ilvl w:val="0"/>
          <w:numId w:val="29"/>
        </w:numPr>
        <w:rPr>
          <w:rFonts w:ascii="Book Antiqua" w:eastAsia="Calibri" w:hAnsi="Book Antiqua"/>
          <w:sz w:val="20"/>
          <w:szCs w:val="20"/>
          <w:lang w:val="es-PE"/>
        </w:rPr>
      </w:pPr>
      <w:r>
        <w:rPr>
          <w:rFonts w:ascii="Book Antiqua" w:eastAsia="Calibri" w:hAnsi="Book Antiqua"/>
          <w:sz w:val="20"/>
          <w:szCs w:val="20"/>
          <w:lang w:val="es-PE"/>
        </w:rPr>
        <w:t>CASACIÓN N° 1944-2009-Piura, Sala Civil Transitoria, de fecha 01.10.2010.</w:t>
      </w:r>
    </w:p>
    <w:p w:rsidR="00404973" w:rsidRDefault="00404973" w:rsidP="00404973">
      <w:pPr>
        <w:pStyle w:val="Sinespaciado"/>
        <w:numPr>
          <w:ilvl w:val="0"/>
          <w:numId w:val="29"/>
        </w:numPr>
        <w:rPr>
          <w:rFonts w:ascii="Book Antiqua" w:eastAsia="Calibri" w:hAnsi="Book Antiqua"/>
          <w:sz w:val="20"/>
          <w:szCs w:val="20"/>
          <w:lang w:val="es-PE"/>
        </w:rPr>
      </w:pPr>
      <w:r>
        <w:rPr>
          <w:rFonts w:ascii="Book Antiqua" w:eastAsia="Calibri" w:hAnsi="Book Antiqua"/>
          <w:sz w:val="20"/>
          <w:szCs w:val="20"/>
          <w:lang w:val="es-PE"/>
        </w:rPr>
        <w:t>Apelación N° 03-2015-22, Caso Torrejón Guevara, del 09.06.2016</w:t>
      </w:r>
    </w:p>
    <w:p w:rsidR="00404973" w:rsidRDefault="00404973" w:rsidP="00404973">
      <w:pPr>
        <w:pStyle w:val="Sinespaciado"/>
        <w:numPr>
          <w:ilvl w:val="0"/>
          <w:numId w:val="29"/>
        </w:numPr>
        <w:rPr>
          <w:rFonts w:ascii="Book Antiqua" w:eastAsia="Calibri" w:hAnsi="Book Antiqua"/>
          <w:sz w:val="20"/>
          <w:szCs w:val="20"/>
          <w:lang w:val="es-PE"/>
        </w:rPr>
      </w:pPr>
      <w:r>
        <w:rPr>
          <w:rFonts w:ascii="Book Antiqua" w:eastAsia="Calibri" w:hAnsi="Book Antiqua"/>
          <w:sz w:val="20"/>
          <w:szCs w:val="20"/>
          <w:lang w:val="es-PE"/>
        </w:rPr>
        <w:t>Pleno Jurisdiccional Nacional Penal y Procesal Penal realizado en Chiclayo el 26 y 27 de junio de 2015.</w:t>
      </w:r>
    </w:p>
    <w:p w:rsidR="00860814" w:rsidRDefault="00860814" w:rsidP="00404973">
      <w:pPr>
        <w:pStyle w:val="Sinespaciado"/>
        <w:numPr>
          <w:ilvl w:val="0"/>
          <w:numId w:val="29"/>
        </w:numPr>
        <w:rPr>
          <w:rFonts w:ascii="Book Antiqua" w:eastAsia="Calibri" w:hAnsi="Book Antiqua"/>
          <w:sz w:val="20"/>
          <w:szCs w:val="20"/>
          <w:lang w:val="pt-BR"/>
        </w:rPr>
      </w:pPr>
      <w:r w:rsidRPr="00860814">
        <w:rPr>
          <w:rFonts w:ascii="Book Antiqua" w:eastAsia="Calibri" w:hAnsi="Book Antiqua"/>
          <w:sz w:val="20"/>
          <w:szCs w:val="20"/>
          <w:lang w:val="pt-BR"/>
        </w:rPr>
        <w:lastRenderedPageBreak/>
        <w:t>Exp. N° 05986-2008-PHC/TC, FJ N</w:t>
      </w:r>
      <w:r>
        <w:rPr>
          <w:rFonts w:ascii="Book Antiqua" w:eastAsia="Calibri" w:hAnsi="Book Antiqua"/>
          <w:sz w:val="20"/>
          <w:szCs w:val="20"/>
          <w:lang w:val="pt-BR"/>
        </w:rPr>
        <w:t>° 5.</w:t>
      </w:r>
    </w:p>
    <w:p w:rsidR="00401012" w:rsidRDefault="00401012" w:rsidP="00401012">
      <w:pPr>
        <w:pStyle w:val="Sinespaciado"/>
        <w:numPr>
          <w:ilvl w:val="0"/>
          <w:numId w:val="29"/>
        </w:numPr>
        <w:rPr>
          <w:rFonts w:ascii="Book Antiqua" w:eastAsia="Calibri" w:hAnsi="Book Antiqua"/>
          <w:sz w:val="20"/>
          <w:szCs w:val="20"/>
          <w:lang w:val="es-PE"/>
        </w:rPr>
      </w:pPr>
      <w:r w:rsidRPr="00401012">
        <w:rPr>
          <w:rFonts w:ascii="Book Antiqua" w:eastAsia="Calibri" w:hAnsi="Book Antiqua"/>
          <w:sz w:val="20"/>
          <w:szCs w:val="20"/>
          <w:lang w:val="es-PE"/>
        </w:rPr>
        <w:t xml:space="preserve">Exp. N° 7624-2005-PHC/TC, del 27.07.2006, Caso Hernán Ronald Buitrón </w:t>
      </w:r>
      <w:r>
        <w:rPr>
          <w:rFonts w:ascii="Book Antiqua" w:eastAsia="Calibri" w:hAnsi="Book Antiqua"/>
          <w:sz w:val="20"/>
          <w:szCs w:val="20"/>
          <w:lang w:val="es-PE"/>
        </w:rPr>
        <w:t>Rodríguez</w:t>
      </w:r>
      <w:r w:rsidRPr="00401012">
        <w:rPr>
          <w:rFonts w:ascii="Book Antiqua" w:eastAsia="Calibri" w:hAnsi="Book Antiqua"/>
          <w:sz w:val="20"/>
          <w:szCs w:val="20"/>
          <w:lang w:val="es-PE"/>
        </w:rPr>
        <w:t>.</w:t>
      </w:r>
    </w:p>
    <w:p w:rsidR="00692A96" w:rsidRDefault="00692A96" w:rsidP="00692A96">
      <w:pPr>
        <w:pStyle w:val="Sinespaciado"/>
        <w:numPr>
          <w:ilvl w:val="0"/>
          <w:numId w:val="29"/>
        </w:numPr>
        <w:rPr>
          <w:rFonts w:ascii="Book Antiqua" w:eastAsia="Calibri" w:hAnsi="Book Antiqua"/>
          <w:sz w:val="20"/>
          <w:szCs w:val="20"/>
          <w:lang w:val="pt-BR"/>
        </w:rPr>
      </w:pPr>
      <w:r w:rsidRPr="00860814">
        <w:rPr>
          <w:rFonts w:ascii="Book Antiqua" w:eastAsia="Calibri" w:hAnsi="Book Antiqua"/>
          <w:sz w:val="20"/>
          <w:szCs w:val="20"/>
          <w:lang w:val="pt-BR"/>
        </w:rPr>
        <w:t xml:space="preserve">Exp. N° </w:t>
      </w:r>
      <w:r>
        <w:rPr>
          <w:rFonts w:ascii="Book Antiqua" w:eastAsia="Calibri" w:hAnsi="Book Antiqua"/>
          <w:sz w:val="20"/>
          <w:szCs w:val="20"/>
          <w:lang w:val="pt-BR"/>
        </w:rPr>
        <w:t>2748</w:t>
      </w:r>
      <w:r w:rsidRPr="00860814">
        <w:rPr>
          <w:rFonts w:ascii="Book Antiqua" w:eastAsia="Calibri" w:hAnsi="Book Antiqua"/>
          <w:sz w:val="20"/>
          <w:szCs w:val="20"/>
          <w:lang w:val="pt-BR"/>
        </w:rPr>
        <w:t>-20</w:t>
      </w:r>
      <w:r>
        <w:rPr>
          <w:rFonts w:ascii="Book Antiqua" w:eastAsia="Calibri" w:hAnsi="Book Antiqua"/>
          <w:sz w:val="20"/>
          <w:szCs w:val="20"/>
          <w:lang w:val="pt-BR"/>
        </w:rPr>
        <w:t>10-PHC/TC.</w:t>
      </w:r>
    </w:p>
    <w:p w:rsidR="00692A96" w:rsidRDefault="00692A96" w:rsidP="00692A96">
      <w:pPr>
        <w:pStyle w:val="Sinespaciado"/>
        <w:numPr>
          <w:ilvl w:val="0"/>
          <w:numId w:val="29"/>
        </w:numPr>
        <w:rPr>
          <w:rFonts w:ascii="Book Antiqua" w:eastAsia="Calibri" w:hAnsi="Book Antiqua"/>
          <w:sz w:val="20"/>
          <w:szCs w:val="20"/>
          <w:lang w:val="pt-BR"/>
        </w:rPr>
      </w:pPr>
      <w:r w:rsidRPr="00860814">
        <w:rPr>
          <w:rFonts w:ascii="Book Antiqua" w:eastAsia="Calibri" w:hAnsi="Book Antiqua"/>
          <w:sz w:val="20"/>
          <w:szCs w:val="20"/>
          <w:lang w:val="pt-BR"/>
        </w:rPr>
        <w:t xml:space="preserve">Exp. N° </w:t>
      </w:r>
      <w:r>
        <w:rPr>
          <w:rFonts w:ascii="Book Antiqua" w:eastAsia="Calibri" w:hAnsi="Book Antiqua"/>
          <w:sz w:val="20"/>
          <w:szCs w:val="20"/>
          <w:lang w:val="pt-BR"/>
        </w:rPr>
        <w:t>5228</w:t>
      </w:r>
      <w:r w:rsidRPr="00860814">
        <w:rPr>
          <w:rFonts w:ascii="Book Antiqua" w:eastAsia="Calibri" w:hAnsi="Book Antiqua"/>
          <w:sz w:val="20"/>
          <w:szCs w:val="20"/>
          <w:lang w:val="pt-BR"/>
        </w:rPr>
        <w:t>-20</w:t>
      </w:r>
      <w:r>
        <w:rPr>
          <w:rFonts w:ascii="Book Antiqua" w:eastAsia="Calibri" w:hAnsi="Book Antiqua"/>
          <w:sz w:val="20"/>
          <w:szCs w:val="20"/>
          <w:lang w:val="pt-BR"/>
        </w:rPr>
        <w:t>06-PHC/TC.</w:t>
      </w:r>
    </w:p>
    <w:p w:rsidR="00C66D86" w:rsidRPr="00692A96" w:rsidRDefault="00C66D86" w:rsidP="00804F56">
      <w:pPr>
        <w:pStyle w:val="Sinespaciado"/>
        <w:rPr>
          <w:rFonts w:ascii="Book Antiqua" w:eastAsia="Calibri" w:hAnsi="Book Antiqua"/>
          <w:sz w:val="20"/>
          <w:szCs w:val="20"/>
          <w:lang w:val="pt-BR"/>
        </w:rPr>
      </w:pPr>
    </w:p>
    <w:p w:rsidR="00C66D86" w:rsidRPr="00692A96" w:rsidRDefault="00C66D86" w:rsidP="00804F56">
      <w:pPr>
        <w:pStyle w:val="Sinespaciado"/>
        <w:rPr>
          <w:rFonts w:ascii="Book Antiqua" w:eastAsia="Calibri" w:hAnsi="Book Antiqua"/>
          <w:sz w:val="20"/>
          <w:szCs w:val="20"/>
          <w:lang w:val="pt-BR"/>
        </w:rPr>
      </w:pPr>
    </w:p>
    <w:p w:rsidR="00591A74" w:rsidRPr="00692A96" w:rsidRDefault="00591A74" w:rsidP="00591A74">
      <w:pPr>
        <w:jc w:val="both"/>
        <w:rPr>
          <w:rFonts w:ascii="Book Antiqua" w:hAnsi="Book Antiqua"/>
          <w:b/>
          <w:bCs/>
          <w:smallCaps/>
          <w:color w:val="4472C4"/>
          <w:spacing w:val="5"/>
          <w:sz w:val="20"/>
          <w:szCs w:val="20"/>
          <w:highlight w:val="yellow"/>
          <w:lang w:val="pt-BR"/>
        </w:rPr>
      </w:pPr>
      <w:r w:rsidRPr="004C7962">
        <w:rPr>
          <w:rFonts w:ascii="Book Antiqua" w:hAnsi="Book Antiqua"/>
          <w:b/>
          <w:bCs/>
          <w:smallCaps/>
          <w:noProof/>
          <w:spacing w:val="5"/>
          <w:sz w:val="20"/>
          <w:szCs w:val="20"/>
          <w:highlight w:val="yellow"/>
          <w:u w:val="single"/>
          <w:lang w:val="es-PE" w:eastAsia="es-PE"/>
        </w:rPr>
        <mc:AlternateContent>
          <mc:Choice Requires="wps">
            <w:drawing>
              <wp:anchor distT="0" distB="0" distL="114300" distR="114300" simplePos="0" relativeHeight="251661312" behindDoc="0" locked="0" layoutInCell="1" allowOverlap="1" wp14:anchorId="547E2355" wp14:editId="061E51FE">
                <wp:simplePos x="0" y="0"/>
                <wp:positionH relativeFrom="column">
                  <wp:posOffset>-59690</wp:posOffset>
                </wp:positionH>
                <wp:positionV relativeFrom="paragraph">
                  <wp:posOffset>168910</wp:posOffset>
                </wp:positionV>
                <wp:extent cx="4071620" cy="635"/>
                <wp:effectExtent l="20320" t="15240" r="41910" b="41275"/>
                <wp:wrapNone/>
                <wp:docPr id="6" name="Conector: angular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071620" cy="635"/>
                        </a:xfrm>
                        <a:prstGeom prst="bentConnector3">
                          <a:avLst>
                            <a:gd name="adj1" fmla="val 50000"/>
                          </a:avLst>
                        </a:prstGeom>
                        <a:noFill/>
                        <a:ln w="28575">
                          <a:solidFill>
                            <a:srgbClr val="000000"/>
                          </a:solidFill>
                          <a:miter lim="800000"/>
                          <a:headEnd/>
                          <a:tailEnd/>
                        </a:ln>
                        <a:effectLst>
                          <a:outerShdw dist="35921" dir="2700000" algn="ctr" rotWithShape="0">
                            <a:srgbClr val="808080"/>
                          </a:outerShdw>
                        </a:effectLst>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4B40D94" id="Conector: angular 6" o:spid="_x0000_s1026" type="#_x0000_t34" style="position:absolute;margin-left:-4.7pt;margin-top:13.3pt;width:320.6pt;height:.0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" strokeweight="2.25pt">
                <v:shadow on="t"/>
              </v:shape>
            </w:pict>
          </mc:Fallback>
        </mc:AlternateContent>
      </w:r>
    </w:p>
    <w:p w:rsidR="00591A74" w:rsidRPr="008346E6" w:rsidRDefault="00591A74" w:rsidP="00591A74">
      <w:pPr>
        <w:spacing w:line="240" w:lineRule="auto"/>
        <w:jc w:val="both"/>
        <w:rPr>
          <w:rFonts w:ascii="Book Antiqua" w:eastAsia="Calibri" w:hAnsi="Book Antiqua"/>
          <w:b/>
          <w:bCs/>
          <w:smallCaps/>
          <w:color w:val="000000"/>
          <w:sz w:val="20"/>
          <w:szCs w:val="20"/>
          <w:u w:val="single"/>
          <w:lang w:val="es-PE"/>
        </w:rPr>
      </w:pPr>
      <w:r w:rsidRPr="008346E6">
        <w:rPr>
          <w:rFonts w:ascii="Book Antiqua" w:eastAsia="Calibri" w:hAnsi="Book Antiqua"/>
          <w:b/>
          <w:bCs/>
          <w:smallCaps/>
          <w:color w:val="000000"/>
          <w:sz w:val="20"/>
          <w:szCs w:val="20"/>
          <w:u w:val="single"/>
          <w:lang w:val="es-PE"/>
        </w:rPr>
        <w:t>[Considerando relevante]</w:t>
      </w:r>
    </w:p>
    <w:p w:rsidR="00965467" w:rsidRPr="00FA41EE" w:rsidRDefault="00965467" w:rsidP="00965467">
      <w:pPr>
        <w:pStyle w:val="Sinespaciado"/>
        <w:rPr>
          <w:rFonts w:ascii="Book Antiqua" w:hAnsi="Book Antiqua"/>
          <w:sz w:val="20"/>
          <w:szCs w:val="20"/>
        </w:rPr>
      </w:pPr>
    </w:p>
    <w:p w:rsidR="009B0966" w:rsidRDefault="008346E6" w:rsidP="00965467">
      <w:pPr>
        <w:pStyle w:val="Sinespaciado"/>
        <w:jc w:val="both"/>
        <w:rPr>
          <w:rFonts w:ascii="Book Antiqua" w:hAnsi="Book Antiqua"/>
          <w:sz w:val="20"/>
          <w:szCs w:val="20"/>
          <w:lang w:val="es-PE"/>
        </w:rPr>
      </w:pPr>
      <w:r>
        <w:rPr>
          <w:rFonts w:ascii="Book Antiqua" w:hAnsi="Book Antiqua"/>
          <w:b/>
          <w:sz w:val="20"/>
          <w:szCs w:val="20"/>
        </w:rPr>
        <w:t>“</w:t>
      </w:r>
      <w:r w:rsidR="00965467" w:rsidRPr="00FA41EE">
        <w:rPr>
          <w:rFonts w:ascii="Book Antiqua" w:hAnsi="Book Antiqua"/>
          <w:b/>
          <w:sz w:val="20"/>
          <w:szCs w:val="20"/>
        </w:rPr>
        <w:t xml:space="preserve">2.2.4. </w:t>
      </w:r>
      <w:r w:rsidR="00965467" w:rsidRPr="00FA41EE">
        <w:rPr>
          <w:rFonts w:ascii="Book Antiqua" w:hAnsi="Book Antiqua"/>
          <w:sz w:val="20"/>
          <w:szCs w:val="20"/>
        </w:rPr>
        <w:t>En consecuencia, el requerimiento del f</w:t>
      </w:r>
      <w:r w:rsidR="00965467">
        <w:rPr>
          <w:rFonts w:ascii="Book Antiqua" w:hAnsi="Book Antiqua"/>
          <w:sz w:val="20"/>
          <w:szCs w:val="20"/>
        </w:rPr>
        <w:t>iscal con la denominación de pró</w:t>
      </w:r>
      <w:r w:rsidR="00965467" w:rsidRPr="00FA41EE">
        <w:rPr>
          <w:rFonts w:ascii="Book Antiqua" w:hAnsi="Book Antiqua"/>
          <w:sz w:val="20"/>
          <w:szCs w:val="20"/>
        </w:rPr>
        <w:t>rroga o ampliación no existe; por lo que, cuando se ha solicitado aquello, ante el vencimiento del plazo máximo de prisión preventiva y/o del plazo judicial establecido inferior, el imputado deberá ser excarcelado, salvo que con arreglo al artículo 274 CPP, solicitare el Ministerio Público la prolongación del plazo de prisión preventiva</w:t>
      </w:r>
      <w:r w:rsidR="00965467">
        <w:rPr>
          <w:rStyle w:val="Refdenotaalpie"/>
          <w:rFonts w:ascii="Book Antiqua" w:hAnsi="Book Antiqua"/>
          <w:sz w:val="20"/>
          <w:szCs w:val="20"/>
        </w:rPr>
        <w:footnoteReference w:id="1"/>
      </w:r>
      <w:r w:rsidR="00965467">
        <w:rPr>
          <w:rFonts w:ascii="Book Antiqua" w:hAnsi="Book Antiqua"/>
          <w:sz w:val="20"/>
          <w:szCs w:val="20"/>
        </w:rPr>
        <w:t>.</w:t>
      </w:r>
      <w:r w:rsidR="00965467" w:rsidRPr="00FA41EE">
        <w:rPr>
          <w:rFonts w:ascii="Book Antiqua" w:hAnsi="Book Antiqua"/>
          <w:noProof/>
          <w:sz w:val="20"/>
          <w:szCs w:val="20"/>
          <w:lang w:val="es-PE" w:eastAsia="es-PE"/>
        </w:rPr>
        <w:drawing>
          <wp:inline distT="0" distB="0" distL="0" distR="0" wp14:anchorId="323B42D9" wp14:editId="2680560D">
            <wp:extent cx="24389" cy="24391"/>
            <wp:effectExtent l="0" t="0" r="0" b="0"/>
            <wp:docPr id="20001" name="Picture 20001"/>
            <wp:cNvGraphicFramePr/>
            <a:graphic xmlns:a="http://schemas.openxmlformats.org/drawingml/2006/main">
              <a:graphicData uri="http://schemas.openxmlformats.org/drawingml/2006/picture">
                <pic:pic xmlns:pic="http://schemas.openxmlformats.org/drawingml/2006/picture">
                  <pic:nvPicPr>
                    <pic:cNvPr id="20001" name="Picture 20001"/>
                    <pic:cNvPicPr/>
                  </pic:nvPicPr>
                  <pic:blipFill>
                    <a:blip r:embed="rId7"/>
                    <a:stretch>
                      <a:fillRect/>
                    </a:stretch>
                  </pic:blipFill>
                  <pic:spPr>
                    <a:xfrm>
                      <a:off x="0" y="0"/>
                      <a:ext cx="24389" cy="24391"/>
                    </a:xfrm>
                    <a:prstGeom prst="rect">
                      <a:avLst/>
                    </a:prstGeom>
                  </pic:spPr>
                </pic:pic>
              </a:graphicData>
            </a:graphic>
          </wp:inline>
        </w:drawing>
      </w:r>
      <w:r>
        <w:rPr>
          <w:rFonts w:ascii="Book Antiqua" w:hAnsi="Book Antiqua"/>
          <w:sz w:val="20"/>
          <w:szCs w:val="20"/>
        </w:rPr>
        <w:t>”</w:t>
      </w:r>
    </w:p>
    <w:p w:rsidR="00965467" w:rsidRDefault="00965467" w:rsidP="00965467">
      <w:pPr>
        <w:pStyle w:val="Sinespaciado"/>
        <w:jc w:val="both"/>
        <w:rPr>
          <w:rFonts w:ascii="Book Antiqua" w:hAnsi="Book Antiqua"/>
          <w:sz w:val="20"/>
          <w:szCs w:val="20"/>
          <w:lang w:val="es-PE"/>
        </w:rPr>
      </w:pPr>
    </w:p>
    <w:p w:rsidR="008346E6" w:rsidRPr="00FA41EE" w:rsidRDefault="008346E6" w:rsidP="008346E6">
      <w:pPr>
        <w:pStyle w:val="Sinespaciado"/>
        <w:jc w:val="both"/>
        <w:rPr>
          <w:rFonts w:ascii="Book Antiqua" w:hAnsi="Book Antiqua"/>
          <w:sz w:val="20"/>
          <w:szCs w:val="20"/>
        </w:rPr>
      </w:pPr>
      <w:r>
        <w:rPr>
          <w:rFonts w:ascii="Book Antiqua" w:hAnsi="Book Antiqua"/>
          <w:b/>
          <w:sz w:val="20"/>
          <w:szCs w:val="20"/>
        </w:rPr>
        <w:t>“</w:t>
      </w:r>
      <w:r w:rsidRPr="00FA41EE">
        <w:rPr>
          <w:rFonts w:ascii="Book Antiqua" w:hAnsi="Book Antiqua"/>
          <w:b/>
          <w:sz w:val="20"/>
          <w:szCs w:val="20"/>
        </w:rPr>
        <w:t>2.3.11.</w:t>
      </w:r>
      <w:r>
        <w:rPr>
          <w:rFonts w:ascii="Book Antiqua" w:hAnsi="Book Antiqua"/>
          <w:sz w:val="20"/>
          <w:szCs w:val="20"/>
        </w:rPr>
        <w:tab/>
      </w:r>
      <w:r w:rsidRPr="00FA41EE">
        <w:rPr>
          <w:rFonts w:ascii="Book Antiqua" w:hAnsi="Book Antiqua"/>
          <w:sz w:val="20"/>
          <w:szCs w:val="20"/>
        </w:rPr>
        <w:t>Por lo que, el cuestionamiento a la congruencia del pronu</w:t>
      </w:r>
      <w:r>
        <w:rPr>
          <w:rFonts w:ascii="Book Antiqua" w:hAnsi="Book Antiqua"/>
          <w:sz w:val="20"/>
          <w:szCs w:val="20"/>
        </w:rPr>
        <w:t xml:space="preserve">nciamiento de segunda instancia </w:t>
      </w:r>
      <w:r w:rsidRPr="00FA41EE">
        <w:rPr>
          <w:rFonts w:ascii="Book Antiqua" w:hAnsi="Book Antiqua"/>
          <w:sz w:val="20"/>
          <w:szCs w:val="20"/>
        </w:rPr>
        <w:t>no es tal, porque el órgano judicial contaba con la facultad de resolver de oficio por la naturaleza del tema, conforme al artículo 255</w:t>
      </w:r>
      <w:r>
        <w:rPr>
          <w:rFonts w:ascii="Book Antiqua" w:hAnsi="Book Antiqua"/>
          <w:sz w:val="20"/>
          <w:szCs w:val="20"/>
        </w:rPr>
        <w:t>°.</w:t>
      </w:r>
      <w:r w:rsidRPr="00FA41EE">
        <w:rPr>
          <w:rFonts w:ascii="Book Antiqua" w:hAnsi="Book Antiqua"/>
          <w:sz w:val="20"/>
          <w:szCs w:val="20"/>
        </w:rPr>
        <w:t>3 del Código Procesal Penal, que señala sobre las medidas de coerción procesal, que los autos que se pronuncian sobre estas son reformables aun de oficio, cuando varíen los supuestos que motivaron su imposición o rectificación.</w:t>
      </w:r>
      <w:r>
        <w:rPr>
          <w:rFonts w:ascii="Book Antiqua" w:hAnsi="Book Antiqua"/>
          <w:sz w:val="20"/>
          <w:szCs w:val="20"/>
        </w:rPr>
        <w:t>”</w:t>
      </w:r>
    </w:p>
    <w:p w:rsidR="00965467" w:rsidRPr="008346E6" w:rsidRDefault="00965467" w:rsidP="00965467">
      <w:pPr>
        <w:pStyle w:val="Sinespaciado"/>
        <w:jc w:val="both"/>
        <w:rPr>
          <w:rFonts w:ascii="Book Antiqua" w:hAnsi="Book Antiqua"/>
          <w:sz w:val="20"/>
          <w:szCs w:val="20"/>
        </w:rPr>
      </w:pPr>
    </w:p>
    <w:p w:rsidR="008346E6" w:rsidRPr="00F21F77" w:rsidRDefault="008346E6" w:rsidP="008346E6">
      <w:pPr>
        <w:pStyle w:val="Sinespaciado"/>
        <w:jc w:val="both"/>
        <w:rPr>
          <w:rFonts w:ascii="Book Antiqua" w:hAnsi="Book Antiqua"/>
          <w:sz w:val="20"/>
          <w:szCs w:val="20"/>
        </w:rPr>
      </w:pPr>
      <w:r>
        <w:rPr>
          <w:rFonts w:ascii="Book Antiqua" w:hAnsi="Book Antiqua"/>
          <w:b/>
          <w:sz w:val="20"/>
          <w:szCs w:val="20"/>
        </w:rPr>
        <w:t>“</w:t>
      </w:r>
      <w:r w:rsidRPr="00F21F77">
        <w:rPr>
          <w:rFonts w:ascii="Book Antiqua" w:hAnsi="Book Antiqua"/>
          <w:b/>
          <w:sz w:val="20"/>
          <w:szCs w:val="20"/>
        </w:rPr>
        <w:t>2.4.2.</w:t>
      </w:r>
      <w:r>
        <w:rPr>
          <w:rFonts w:ascii="Book Antiqua" w:hAnsi="Book Antiqua"/>
          <w:b/>
          <w:sz w:val="20"/>
          <w:szCs w:val="20"/>
        </w:rPr>
        <w:t xml:space="preserve"> </w:t>
      </w:r>
      <w:r w:rsidRPr="00F21F77">
        <w:rPr>
          <w:rFonts w:ascii="Book Antiqua" w:hAnsi="Book Antiqua"/>
          <w:sz w:val="20"/>
          <w:szCs w:val="20"/>
        </w:rPr>
        <w:t xml:space="preserve">Está institución está </w:t>
      </w:r>
      <w:r>
        <w:rPr>
          <w:rFonts w:ascii="Book Antiqua" w:hAnsi="Book Antiqua"/>
          <w:sz w:val="20"/>
          <w:szCs w:val="20"/>
        </w:rPr>
        <w:t>prevista en el numeral 1</w:t>
      </w:r>
      <w:r w:rsidRPr="00F21F77">
        <w:rPr>
          <w:rFonts w:ascii="Book Antiqua" w:hAnsi="Book Antiqua"/>
          <w:sz w:val="20"/>
          <w:szCs w:val="20"/>
        </w:rPr>
        <w:t xml:space="preserve"> del artículo 274</w:t>
      </w:r>
      <w:r>
        <w:rPr>
          <w:rFonts w:ascii="Book Antiqua" w:hAnsi="Book Antiqua"/>
          <w:sz w:val="20"/>
          <w:szCs w:val="20"/>
        </w:rPr>
        <w:t>°</w:t>
      </w:r>
      <w:r w:rsidRPr="00F21F77">
        <w:rPr>
          <w:rFonts w:ascii="Book Antiqua" w:hAnsi="Book Antiqua"/>
          <w:sz w:val="20"/>
          <w:szCs w:val="20"/>
        </w:rPr>
        <w:t xml:space="preserve"> del Código Procesal Penal, el cual requiere acumulativamente dos presupuestos: </w:t>
      </w:r>
      <w:r w:rsidRPr="00F21F77">
        <w:rPr>
          <w:rFonts w:ascii="Book Antiqua" w:hAnsi="Book Antiqua"/>
          <w:b/>
          <w:sz w:val="20"/>
          <w:szCs w:val="20"/>
        </w:rPr>
        <w:t>i)</w:t>
      </w:r>
      <w:r w:rsidRPr="00F21F77">
        <w:rPr>
          <w:rFonts w:ascii="Book Antiqua" w:hAnsi="Book Antiqua"/>
          <w:sz w:val="20"/>
          <w:szCs w:val="20"/>
        </w:rPr>
        <w:t xml:space="preserve"> Una especial dificultad o prolongación de la investigación o del proceso. Por especial dificultad se entiende la concurrencia de circunstancias que obstaculizan la realización de determinada diligencia, la práctica de alguna pericia o alguna circunstancia propia de la conducta del imputado</w:t>
      </w:r>
      <w:r>
        <w:rPr>
          <w:rStyle w:val="Refdenotaalpie"/>
          <w:rFonts w:ascii="Book Antiqua" w:hAnsi="Book Antiqua"/>
          <w:sz w:val="20"/>
          <w:szCs w:val="20"/>
        </w:rPr>
        <w:footnoteReference w:id="2"/>
      </w:r>
      <w:r w:rsidRPr="00F21F77">
        <w:rPr>
          <w:rFonts w:ascii="Book Antiqua" w:hAnsi="Book Antiqua"/>
          <w:sz w:val="20"/>
          <w:szCs w:val="20"/>
        </w:rPr>
        <w:t xml:space="preserve"> , elementos de juicio objetivos posteriores al dictado de la prisión preventiva primigenia y su impugnación. La ley no establece que deban excitar nuevos elementos o actos que sustenten este requisito, pues el juez al momento de determinar el plazo de prisión preventiva pudo no tener en cuenta en su real dimensión estas particularidades que le dan complejidad al caso. </w:t>
      </w:r>
      <w:r w:rsidRPr="00F21F77">
        <w:rPr>
          <w:rFonts w:ascii="Book Antiqua" w:hAnsi="Book Antiqua"/>
          <w:b/>
          <w:sz w:val="20"/>
          <w:szCs w:val="20"/>
        </w:rPr>
        <w:t>ii)</w:t>
      </w:r>
      <w:r w:rsidRPr="00F21F77">
        <w:rPr>
          <w:rFonts w:ascii="Book Antiqua" w:hAnsi="Book Antiqua"/>
          <w:sz w:val="20"/>
          <w:szCs w:val="20"/>
        </w:rPr>
        <w:t xml:space="preserve"> Que el</w:t>
      </w:r>
      <w:r>
        <w:rPr>
          <w:rFonts w:ascii="Book Antiqua" w:hAnsi="Book Antiqua"/>
          <w:sz w:val="20"/>
          <w:szCs w:val="20"/>
        </w:rPr>
        <w:t xml:space="preserve"> </w:t>
      </w:r>
      <w:r w:rsidRPr="00F21F77">
        <w:rPr>
          <w:rFonts w:ascii="Book Antiqua" w:hAnsi="Book Antiqua"/>
          <w:sz w:val="20"/>
          <w:szCs w:val="20"/>
        </w:rPr>
        <w:t>imputado pudiera sustraerse a la acción de la justicia u obstaculizar la actividad probatoria, que no se establece en función a un reexamen de lo ya resuelto en la prisión preventiva a propósito del peligro procesal, sino sobre la base del análisis sobre si dichas condiciones subsisten o se mantienen.</w:t>
      </w:r>
      <w:r>
        <w:rPr>
          <w:rFonts w:ascii="Book Antiqua" w:hAnsi="Book Antiqua"/>
          <w:sz w:val="20"/>
          <w:szCs w:val="20"/>
        </w:rPr>
        <w:t>”</w:t>
      </w:r>
    </w:p>
    <w:p w:rsidR="00965467" w:rsidRPr="008346E6" w:rsidRDefault="00965467" w:rsidP="00965467">
      <w:pPr>
        <w:pStyle w:val="Sinespaciado"/>
        <w:jc w:val="both"/>
        <w:rPr>
          <w:rFonts w:ascii="Book Antiqua" w:hAnsi="Book Antiqua"/>
          <w:sz w:val="20"/>
          <w:szCs w:val="20"/>
          <w:highlight w:val="yellow"/>
        </w:rPr>
      </w:pPr>
    </w:p>
    <w:p w:rsidR="00591A74" w:rsidRPr="004C7962" w:rsidRDefault="00591A74" w:rsidP="00591A74">
      <w:pPr>
        <w:tabs>
          <w:tab w:val="left" w:pos="0"/>
        </w:tabs>
        <w:jc w:val="both"/>
        <w:rPr>
          <w:rFonts w:ascii="Book Antiqua" w:hAnsi="Book Antiqua"/>
          <w:b/>
          <w:bCs/>
          <w:smallCaps/>
          <w:color w:val="4472C4"/>
          <w:spacing w:val="5"/>
          <w:sz w:val="20"/>
          <w:szCs w:val="20"/>
          <w:highlight w:val="yellow"/>
        </w:rPr>
      </w:pPr>
      <w:r w:rsidRPr="004C7962">
        <w:rPr>
          <w:rFonts w:ascii="Book Antiqua" w:hAnsi="Book Antiqua"/>
          <w:b/>
          <w:bCs/>
          <w:smallCaps/>
          <w:noProof/>
          <w:spacing w:val="5"/>
          <w:sz w:val="20"/>
          <w:szCs w:val="20"/>
          <w:highlight w:val="yellow"/>
          <w:u w:val="single"/>
          <w:lang w:val="es-PE" w:eastAsia="es-PE"/>
        </w:rPr>
        <mc:AlternateContent>
          <mc:Choice Requires="wps">
            <w:drawing>
              <wp:anchor distT="0" distB="0" distL="114300" distR="114300" simplePos="0" relativeHeight="251662336" behindDoc="0" locked="0" layoutInCell="1" allowOverlap="1" wp14:anchorId="543C3625" wp14:editId="24F5FE1D">
                <wp:simplePos x="0" y="0"/>
                <wp:positionH relativeFrom="column">
                  <wp:posOffset>17145</wp:posOffset>
                </wp:positionH>
                <wp:positionV relativeFrom="paragraph">
                  <wp:posOffset>134620</wp:posOffset>
                </wp:positionV>
                <wp:extent cx="3984625" cy="635"/>
                <wp:effectExtent l="20955" t="19050" r="42545" b="46990"/>
                <wp:wrapNone/>
                <wp:docPr id="5" name="Conector: angula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984625" cy="635"/>
                        </a:xfrm>
                        <a:prstGeom prst="bentConnector3">
                          <a:avLst>
                            <a:gd name="adj1" fmla="val 49991"/>
                          </a:avLst>
                        </a:prstGeom>
                        <a:noFill/>
                        <a:ln w="28575">
                          <a:solidFill>
                            <a:srgbClr val="000000"/>
                          </a:solidFill>
                          <a:miter lim="800000"/>
                          <a:headEnd/>
                          <a:tailEnd/>
                        </a:ln>
                        <a:effectLst>
                          <a:outerShdw dist="35921" dir="2700000" algn="ctr" rotWithShape="0">
                            <a:srgbClr val="808080"/>
                          </a:outerShdw>
                        </a:effectLst>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DA2C709" id="Conector: angular 5" o:spid="_x0000_s1026" type="#_x0000_t34" style="position:absolute;margin-left:1.35pt;margin-top:10.6pt;width:313.75pt;height:.0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" adj="10798" strokeweight="2.25pt">
                <v:shadow on="t"/>
              </v:shape>
            </w:pict>
          </mc:Fallback>
        </mc:AlternateContent>
      </w:r>
    </w:p>
    <w:p w:rsidR="00591A74" w:rsidRPr="00B4710B" w:rsidRDefault="00591A74" w:rsidP="00591A74">
      <w:pPr>
        <w:spacing w:line="240" w:lineRule="auto"/>
        <w:jc w:val="both"/>
        <w:rPr>
          <w:rFonts w:ascii="Book Antiqua" w:eastAsia="Calibri" w:hAnsi="Book Antiqua"/>
          <w:b/>
          <w:bCs/>
          <w:smallCaps/>
          <w:color w:val="000000"/>
          <w:sz w:val="20"/>
          <w:szCs w:val="20"/>
          <w:u w:val="single"/>
          <w:lang w:val="es-PE"/>
        </w:rPr>
      </w:pPr>
      <w:r w:rsidRPr="00B4710B">
        <w:rPr>
          <w:rFonts w:ascii="Book Antiqua" w:eastAsia="Calibri" w:hAnsi="Book Antiqua"/>
          <w:b/>
          <w:bCs/>
          <w:smallCaps/>
          <w:color w:val="000000"/>
          <w:sz w:val="20"/>
          <w:szCs w:val="20"/>
          <w:u w:val="single"/>
          <w:lang w:val="es-PE"/>
        </w:rPr>
        <w:t>[Decisión]</w:t>
      </w:r>
    </w:p>
    <w:p w:rsidR="00B4710B" w:rsidRDefault="00B4710B" w:rsidP="00B4710B">
      <w:pPr>
        <w:pStyle w:val="Sinespaciado"/>
        <w:jc w:val="both"/>
        <w:rPr>
          <w:rFonts w:ascii="Book Antiqua" w:hAnsi="Book Antiqua"/>
          <w:sz w:val="20"/>
          <w:szCs w:val="20"/>
        </w:rPr>
      </w:pPr>
      <w:r w:rsidRPr="00FA207C">
        <w:rPr>
          <w:rFonts w:ascii="Book Antiqua" w:hAnsi="Book Antiqua"/>
          <w:sz w:val="20"/>
          <w:szCs w:val="20"/>
        </w:rPr>
        <w:t>Por estos fundamentos: Declararon:</w:t>
      </w:r>
    </w:p>
    <w:p w:rsidR="00B4710B" w:rsidRPr="00FA207C" w:rsidRDefault="00B4710B" w:rsidP="00B4710B">
      <w:pPr>
        <w:pStyle w:val="Sinespaciado"/>
        <w:jc w:val="both"/>
        <w:rPr>
          <w:rFonts w:ascii="Book Antiqua" w:hAnsi="Book Antiqua"/>
          <w:sz w:val="20"/>
          <w:szCs w:val="20"/>
        </w:rPr>
      </w:pPr>
    </w:p>
    <w:p w:rsidR="00B4710B" w:rsidRDefault="00B4710B" w:rsidP="00B4710B">
      <w:pPr>
        <w:pStyle w:val="Sinespaciado"/>
        <w:jc w:val="both"/>
        <w:rPr>
          <w:rFonts w:ascii="Book Antiqua" w:hAnsi="Book Antiqua"/>
          <w:sz w:val="20"/>
          <w:szCs w:val="20"/>
        </w:rPr>
      </w:pPr>
      <w:r w:rsidRPr="00FA207C">
        <w:rPr>
          <w:rFonts w:ascii="Book Antiqua" w:hAnsi="Book Antiqua"/>
          <w:b/>
          <w:sz w:val="20"/>
          <w:szCs w:val="20"/>
        </w:rPr>
        <w:t>I.- INFUNDADOS</w:t>
      </w:r>
      <w:r w:rsidRPr="00FA207C">
        <w:rPr>
          <w:rFonts w:ascii="Book Antiqua" w:hAnsi="Book Antiqua"/>
          <w:sz w:val="20"/>
          <w:szCs w:val="20"/>
        </w:rPr>
        <w:t xml:space="preserve"> los recursos de casación excepcional interpuestos por el representante del Ministerio Público sobre congruencia y por la defensa técnica del investigado Gregorio Santos Guerrero, sobre requisitos de la prolongación de prisión preventiva; en consecuencia, NO CASARON la resolución de vista número ocho del uno de septiembre de dos mil quince -fojas ciento noventa y dos- que revocó la resolución del catorce de agosto de dos mil quince, en el extremo que declaró infundado el requerimiento de prórroga de prisión preventiva contra el citado investigado por el plazo de cuatro meses; y, reformándolo declaró improcedente el extremo del requerimiento de prórroga de prisión preventiva solicitada por el Ministerio Público; y confirmó dicha resolución en el extremo que declaró fundado el requerimiento de prolongación de prisión preventiva contra Gregorio Santos Guerrero, y revocaron el extremo del plazo de </w:t>
      </w:r>
      <w:r w:rsidRPr="00FA207C">
        <w:rPr>
          <w:rFonts w:ascii="Book Antiqua" w:hAnsi="Book Antiqua"/>
          <w:sz w:val="20"/>
          <w:szCs w:val="20"/>
        </w:rPr>
        <w:lastRenderedPageBreak/>
        <w:t>dieciocho meses de prolongación de prisión</w:t>
      </w:r>
      <w:r>
        <w:rPr>
          <w:rFonts w:ascii="Book Antiqua" w:hAnsi="Book Antiqua"/>
          <w:sz w:val="20"/>
          <w:szCs w:val="20"/>
        </w:rPr>
        <w:t xml:space="preserve"> contra el</w:t>
      </w:r>
      <w:r w:rsidRPr="00FA207C">
        <w:rPr>
          <w:rFonts w:ascii="Book Antiqua" w:hAnsi="Book Antiqua"/>
          <w:sz w:val="20"/>
          <w:szCs w:val="20"/>
        </w:rPr>
        <w:t xml:space="preserve"> antes investigado, reformándolo se le otorga el plazo de once meses de prolongación de prisión preventiva contra Gregorio Santos Guerrero.</w:t>
      </w:r>
    </w:p>
    <w:p w:rsidR="00B4710B" w:rsidRPr="00FA207C" w:rsidRDefault="00B4710B" w:rsidP="00B4710B">
      <w:pPr>
        <w:pStyle w:val="Sinespaciado"/>
        <w:jc w:val="both"/>
        <w:rPr>
          <w:rFonts w:ascii="Book Antiqua" w:hAnsi="Book Antiqua"/>
          <w:sz w:val="20"/>
          <w:szCs w:val="20"/>
        </w:rPr>
      </w:pPr>
    </w:p>
    <w:p w:rsidR="00B4710B" w:rsidRDefault="00B4710B" w:rsidP="00B4710B">
      <w:pPr>
        <w:pStyle w:val="Sinespaciado"/>
        <w:jc w:val="both"/>
        <w:rPr>
          <w:rFonts w:ascii="Book Antiqua" w:hAnsi="Book Antiqua"/>
          <w:sz w:val="20"/>
          <w:szCs w:val="20"/>
        </w:rPr>
      </w:pPr>
      <w:r w:rsidRPr="00FA41EE">
        <w:rPr>
          <w:rFonts w:ascii="Book Antiqua" w:hAnsi="Book Antiqua"/>
          <w:b/>
          <w:sz w:val="20"/>
          <w:szCs w:val="20"/>
        </w:rPr>
        <w:t>I. ESTABLECIERON</w:t>
      </w:r>
      <w:r w:rsidRPr="00FA207C">
        <w:rPr>
          <w:rFonts w:ascii="Book Antiqua" w:hAnsi="Book Antiqua"/>
          <w:sz w:val="20"/>
          <w:szCs w:val="20"/>
        </w:rPr>
        <w:t xml:space="preserve"> como doctrina jurisprudencial el fundamento jurídico de la presente sentencia </w:t>
      </w:r>
      <w:proofErr w:type="spellStart"/>
      <w:r w:rsidRPr="00FA207C">
        <w:rPr>
          <w:rFonts w:ascii="Book Antiqua" w:hAnsi="Book Antiqua"/>
          <w:sz w:val="20"/>
          <w:szCs w:val="20"/>
        </w:rPr>
        <w:t>casatoria</w:t>
      </w:r>
      <w:proofErr w:type="spellEnd"/>
      <w:r w:rsidRPr="00FA207C">
        <w:rPr>
          <w:rFonts w:ascii="Book Antiqua" w:hAnsi="Book Antiqua"/>
          <w:sz w:val="20"/>
          <w:szCs w:val="20"/>
        </w:rPr>
        <w:t>, referido a la inexistencia de la prórroga de la prisión preventiva, fundamento 2.2.4.; interpretación de la congruencia en el recurso</w:t>
      </w:r>
      <w:r>
        <w:rPr>
          <w:rFonts w:ascii="Book Antiqua" w:hAnsi="Book Antiqua"/>
          <w:sz w:val="20"/>
          <w:szCs w:val="20"/>
        </w:rPr>
        <w:t xml:space="preserve"> de apelación, fundamento 2.3.11;</w:t>
      </w:r>
      <w:r w:rsidRPr="00FA207C">
        <w:rPr>
          <w:rFonts w:ascii="Book Antiqua" w:hAnsi="Book Antiqua"/>
          <w:sz w:val="20"/>
          <w:szCs w:val="20"/>
        </w:rPr>
        <w:t xml:space="preserve"> y, requisitos de la prolongación de prisión preventiva, fundamento 2</w:t>
      </w:r>
      <w:r>
        <w:rPr>
          <w:rFonts w:ascii="Book Antiqua" w:hAnsi="Book Antiqua"/>
          <w:sz w:val="20"/>
          <w:szCs w:val="20"/>
        </w:rPr>
        <w:t>.</w:t>
      </w:r>
      <w:r w:rsidRPr="00FA207C">
        <w:rPr>
          <w:rFonts w:ascii="Book Antiqua" w:hAnsi="Book Antiqua"/>
          <w:sz w:val="20"/>
          <w:szCs w:val="20"/>
        </w:rPr>
        <w:t>4.2.</w:t>
      </w:r>
    </w:p>
    <w:p w:rsidR="00B4710B" w:rsidRPr="00FA207C" w:rsidRDefault="00B4710B" w:rsidP="00B4710B">
      <w:pPr>
        <w:pStyle w:val="Sinespaciado"/>
        <w:jc w:val="both"/>
        <w:rPr>
          <w:rFonts w:ascii="Book Antiqua" w:hAnsi="Book Antiqua"/>
          <w:sz w:val="20"/>
          <w:szCs w:val="20"/>
        </w:rPr>
      </w:pPr>
    </w:p>
    <w:p w:rsidR="00B4710B" w:rsidRPr="00FA207C" w:rsidRDefault="00B4710B" w:rsidP="00B4710B">
      <w:pPr>
        <w:pStyle w:val="Sinespaciado"/>
        <w:jc w:val="both"/>
        <w:rPr>
          <w:rFonts w:ascii="Book Antiqua" w:hAnsi="Book Antiqua"/>
          <w:sz w:val="20"/>
          <w:szCs w:val="20"/>
        </w:rPr>
      </w:pPr>
      <w:r w:rsidRPr="00FA41EE">
        <w:rPr>
          <w:rFonts w:ascii="Book Antiqua" w:hAnsi="Book Antiqua"/>
          <w:b/>
          <w:sz w:val="20"/>
          <w:szCs w:val="20"/>
        </w:rPr>
        <w:t>III. DISPUSIERON</w:t>
      </w:r>
      <w:r w:rsidRPr="00FA207C">
        <w:rPr>
          <w:rFonts w:ascii="Book Antiqua" w:hAnsi="Book Antiqua"/>
          <w:sz w:val="20"/>
          <w:szCs w:val="20"/>
        </w:rPr>
        <w:t xml:space="preserve"> que se dé lectura de la presente sentencia </w:t>
      </w:r>
      <w:proofErr w:type="spellStart"/>
      <w:r w:rsidRPr="00FA207C">
        <w:rPr>
          <w:rFonts w:ascii="Book Antiqua" w:hAnsi="Book Antiqua"/>
          <w:sz w:val="20"/>
          <w:szCs w:val="20"/>
        </w:rPr>
        <w:t>casatoria</w:t>
      </w:r>
      <w:proofErr w:type="spellEnd"/>
      <w:r w:rsidRPr="00FA207C">
        <w:rPr>
          <w:rFonts w:ascii="Book Antiqua" w:hAnsi="Book Antiqua"/>
          <w:sz w:val="20"/>
          <w:szCs w:val="20"/>
        </w:rPr>
        <w:t xml:space="preserve"> en audiencia pública y se publique en el Diario Oficial "El Peruano", de conformidad con lo previsto en el numeral tres del artículo cuatrocientos treinta y tres del Código Procesal Penal. Hágase saber. Interviene el señor Juez Supremo Príncipe Trujillo por impedimento del señor Juez Supremo Rodríguez Tineo.</w:t>
      </w:r>
    </w:p>
    <w:p w:rsidR="00B4710B" w:rsidRDefault="00B4710B" w:rsidP="00B4710B">
      <w:pPr>
        <w:pStyle w:val="Sinespaciado"/>
        <w:jc w:val="both"/>
        <w:rPr>
          <w:rFonts w:ascii="Book Antiqua" w:hAnsi="Book Antiqua"/>
          <w:sz w:val="20"/>
          <w:szCs w:val="20"/>
        </w:rPr>
      </w:pPr>
    </w:p>
    <w:p w:rsidR="00B4710B" w:rsidRPr="00FA207C" w:rsidRDefault="00B4710B" w:rsidP="00B4710B">
      <w:pPr>
        <w:pStyle w:val="Sinespaciado"/>
        <w:jc w:val="both"/>
        <w:rPr>
          <w:rFonts w:ascii="Book Antiqua" w:hAnsi="Book Antiqua"/>
          <w:sz w:val="20"/>
          <w:szCs w:val="20"/>
        </w:rPr>
      </w:pPr>
      <w:r w:rsidRPr="00FA207C">
        <w:rPr>
          <w:rFonts w:ascii="Book Antiqua" w:hAnsi="Book Antiqua"/>
          <w:sz w:val="20"/>
          <w:szCs w:val="20"/>
        </w:rPr>
        <w:t>S.S</w:t>
      </w:r>
    </w:p>
    <w:p w:rsidR="00B4710B" w:rsidRPr="00FA207C" w:rsidRDefault="00B4710B" w:rsidP="00B4710B">
      <w:pPr>
        <w:pStyle w:val="Sinespaciado"/>
        <w:jc w:val="both"/>
        <w:rPr>
          <w:rFonts w:ascii="Book Antiqua" w:hAnsi="Book Antiqua"/>
          <w:sz w:val="20"/>
          <w:szCs w:val="20"/>
        </w:rPr>
      </w:pPr>
      <w:r w:rsidRPr="00FA207C">
        <w:rPr>
          <w:rFonts w:ascii="Book Antiqua" w:hAnsi="Book Antiqua"/>
          <w:sz w:val="20"/>
          <w:szCs w:val="20"/>
        </w:rPr>
        <w:t>VILLA STEIN</w:t>
      </w:r>
    </w:p>
    <w:p w:rsidR="00B4710B" w:rsidRPr="00FA41EE" w:rsidRDefault="00B4710B" w:rsidP="00B4710B">
      <w:pPr>
        <w:pStyle w:val="Sinespaciado"/>
        <w:jc w:val="both"/>
        <w:rPr>
          <w:rFonts w:ascii="Book Antiqua" w:hAnsi="Book Antiqua"/>
          <w:b/>
          <w:sz w:val="20"/>
          <w:szCs w:val="20"/>
        </w:rPr>
      </w:pPr>
      <w:r w:rsidRPr="00FA41EE">
        <w:rPr>
          <w:rFonts w:ascii="Book Antiqua" w:hAnsi="Book Antiqua"/>
          <w:b/>
          <w:sz w:val="20"/>
          <w:szCs w:val="20"/>
        </w:rPr>
        <w:t xml:space="preserve">PARIONA PASTRANA </w:t>
      </w:r>
    </w:p>
    <w:p w:rsidR="00B4710B" w:rsidRPr="00FA207C" w:rsidRDefault="00B4710B" w:rsidP="00B4710B">
      <w:pPr>
        <w:pStyle w:val="Sinespaciado"/>
        <w:jc w:val="both"/>
        <w:rPr>
          <w:rFonts w:ascii="Book Antiqua" w:hAnsi="Book Antiqua"/>
          <w:sz w:val="20"/>
          <w:szCs w:val="20"/>
        </w:rPr>
      </w:pPr>
      <w:r w:rsidRPr="00FA207C">
        <w:rPr>
          <w:rFonts w:ascii="Book Antiqua" w:hAnsi="Book Antiqua"/>
          <w:sz w:val="20"/>
          <w:szCs w:val="20"/>
        </w:rPr>
        <w:t xml:space="preserve">HINOSTROZA PARIACHI </w:t>
      </w:r>
    </w:p>
    <w:p w:rsidR="00B4710B" w:rsidRPr="00FA207C" w:rsidRDefault="00B4710B" w:rsidP="00B4710B">
      <w:pPr>
        <w:pStyle w:val="Sinespaciado"/>
        <w:jc w:val="both"/>
        <w:rPr>
          <w:rFonts w:ascii="Book Antiqua" w:hAnsi="Book Antiqua"/>
          <w:sz w:val="20"/>
          <w:szCs w:val="20"/>
        </w:rPr>
      </w:pPr>
      <w:r w:rsidRPr="00FA207C">
        <w:rPr>
          <w:rFonts w:ascii="Book Antiqua" w:hAnsi="Book Antiqua"/>
          <w:sz w:val="20"/>
          <w:szCs w:val="20"/>
        </w:rPr>
        <w:t xml:space="preserve">PRINCIPE TRUJILLO </w:t>
      </w:r>
    </w:p>
    <w:p w:rsidR="00B4710B" w:rsidRPr="00FA207C" w:rsidRDefault="00B4710B" w:rsidP="00B4710B">
      <w:pPr>
        <w:pStyle w:val="Sinespaciado"/>
        <w:jc w:val="both"/>
        <w:rPr>
          <w:rFonts w:ascii="Book Antiqua" w:hAnsi="Book Antiqua"/>
          <w:sz w:val="20"/>
          <w:szCs w:val="20"/>
        </w:rPr>
      </w:pPr>
      <w:r w:rsidRPr="00FA207C">
        <w:rPr>
          <w:rFonts w:ascii="Book Antiqua" w:hAnsi="Book Antiqua"/>
          <w:sz w:val="20"/>
          <w:szCs w:val="20"/>
        </w:rPr>
        <w:t>NEYRA FLORES</w:t>
      </w:r>
    </w:p>
    <w:p w:rsidR="00BF3B36" w:rsidRPr="00D92924" w:rsidRDefault="00BF3B36" w:rsidP="000B4EEE">
      <w:pPr>
        <w:pStyle w:val="Sinespaciado"/>
        <w:jc w:val="both"/>
        <w:rPr>
          <w:rFonts w:ascii="Book Antiqua" w:hAnsi="Book Antiqua"/>
          <w:sz w:val="20"/>
          <w:szCs w:val="20"/>
        </w:rPr>
      </w:pPr>
    </w:p>
    <w:sectPr w:rsidR="00BF3B36" w:rsidRPr="00D92924">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E5A3A" w:rsidRDefault="006E5A3A" w:rsidP="00591A74">
      <w:pPr>
        <w:spacing w:after="0" w:line="240" w:lineRule="auto"/>
      </w:pPr>
      <w:r>
        <w:separator/>
      </w:r>
    </w:p>
  </w:endnote>
  <w:endnote w:type="continuationSeparator" w:id="0">
    <w:p w:rsidR="006E5A3A" w:rsidRDefault="006E5A3A" w:rsidP="00591A7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Arial-Bold-121106-Identity-H">
    <w:panose1 w:val="00000000000000000000"/>
    <w:charset w:val="00"/>
    <w:family w:val="auto"/>
    <w:notTrueType/>
    <w:pitch w:val="default"/>
    <w:sig w:usb0="00000003" w:usb1="00000000" w:usb2="00000000" w:usb3="00000000" w:csb0="00000001" w:csb1="00000000"/>
  </w:font>
  <w:font w:name="*Courier New-4479-Identity-H">
    <w:altName w:val="Calibri"/>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E5A3A" w:rsidRDefault="006E5A3A" w:rsidP="00591A74">
      <w:pPr>
        <w:spacing w:after="0" w:line="240" w:lineRule="auto"/>
      </w:pPr>
      <w:r>
        <w:separator/>
      </w:r>
    </w:p>
  </w:footnote>
  <w:footnote w:type="continuationSeparator" w:id="0">
    <w:p w:rsidR="006E5A3A" w:rsidRDefault="006E5A3A" w:rsidP="00591A74">
      <w:pPr>
        <w:spacing w:after="0" w:line="240" w:lineRule="auto"/>
      </w:pPr>
      <w:r>
        <w:continuationSeparator/>
      </w:r>
    </w:p>
  </w:footnote>
  <w:footnote w:id="1">
    <w:p w:rsidR="00965467" w:rsidRPr="008346E6" w:rsidRDefault="00965467" w:rsidP="008346E6">
      <w:pPr>
        <w:pStyle w:val="Textonotapie"/>
        <w:jc w:val="both"/>
        <w:rPr>
          <w:rFonts w:ascii="Book Antiqua" w:hAnsi="Book Antiqua"/>
          <w:lang w:val="es-ES"/>
        </w:rPr>
      </w:pPr>
      <w:r w:rsidRPr="008346E6">
        <w:rPr>
          <w:rStyle w:val="Refdenotaalpie"/>
          <w:rFonts w:ascii="Book Antiqua" w:hAnsi="Book Antiqua"/>
        </w:rPr>
        <w:footnoteRef/>
      </w:r>
      <w:r w:rsidRPr="008346E6">
        <w:rPr>
          <w:rFonts w:ascii="Book Antiqua" w:hAnsi="Book Antiqua"/>
        </w:rPr>
        <w:t xml:space="preserve"> </w:t>
      </w:r>
      <w:r w:rsidRPr="008346E6">
        <w:rPr>
          <w:rFonts w:ascii="Book Antiqua" w:hAnsi="Book Antiqua"/>
          <w:lang w:val="es-ES"/>
        </w:rPr>
        <w:t>SAN MARTÍN CASTRO, César. Derecho Procesal Penal. Lecciones. INPECCP-CENALES. Lima. 2015, p 464.</w:t>
      </w:r>
    </w:p>
  </w:footnote>
  <w:footnote w:id="2">
    <w:p w:rsidR="008346E6" w:rsidRPr="008346E6" w:rsidRDefault="008346E6" w:rsidP="008346E6">
      <w:pPr>
        <w:pStyle w:val="Sinespaciado"/>
        <w:jc w:val="both"/>
        <w:rPr>
          <w:rFonts w:ascii="Book Antiqua" w:hAnsi="Book Antiqua"/>
          <w:sz w:val="20"/>
          <w:szCs w:val="20"/>
          <w:lang w:val="en-US"/>
        </w:rPr>
      </w:pPr>
      <w:r w:rsidRPr="008346E6">
        <w:rPr>
          <w:rStyle w:val="Refdenotaalpie"/>
          <w:rFonts w:ascii="Book Antiqua" w:hAnsi="Book Antiqua"/>
          <w:sz w:val="20"/>
          <w:szCs w:val="20"/>
        </w:rPr>
        <w:footnoteRef/>
      </w:r>
      <w:r w:rsidRPr="008346E6">
        <w:rPr>
          <w:rFonts w:ascii="Book Antiqua" w:hAnsi="Book Antiqua"/>
          <w:sz w:val="20"/>
          <w:szCs w:val="20"/>
          <w:lang w:val="pt-BR"/>
        </w:rPr>
        <w:t xml:space="preserve"> SANCHEZ VELARDE, Pablo. Código </w:t>
      </w:r>
      <w:proofErr w:type="spellStart"/>
      <w:r w:rsidRPr="008346E6">
        <w:rPr>
          <w:rFonts w:ascii="Book Antiqua" w:hAnsi="Book Antiqua"/>
          <w:sz w:val="20"/>
          <w:szCs w:val="20"/>
          <w:lang w:val="pt-BR"/>
        </w:rPr>
        <w:t>Procesal</w:t>
      </w:r>
      <w:proofErr w:type="spellEnd"/>
      <w:r w:rsidRPr="008346E6">
        <w:rPr>
          <w:rFonts w:ascii="Book Antiqua" w:hAnsi="Book Antiqua"/>
          <w:sz w:val="20"/>
          <w:szCs w:val="20"/>
          <w:lang w:val="pt-BR"/>
        </w:rPr>
        <w:t xml:space="preserve"> Penal Comentado. LIMA: IDEMSA, 2013, p. 272.</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5B2342A"/>
    <w:multiLevelType w:val="hybridMultilevel"/>
    <w:tmpl w:val="EAA42A50"/>
    <w:lvl w:ilvl="0" w:tplc="280A0001">
      <w:start w:val="1"/>
      <w:numFmt w:val="bullet"/>
      <w:lvlText w:val=""/>
      <w:lvlJc w:val="left"/>
      <w:pPr>
        <w:ind w:left="720" w:hanging="360"/>
      </w:pPr>
      <w:rPr>
        <w:rFonts w:ascii="Symbol" w:hAnsi="Symbol" w:hint="default"/>
      </w:rPr>
    </w:lvl>
    <w:lvl w:ilvl="1" w:tplc="280A0003">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
    <w:nsid w:val="099D7431"/>
    <w:multiLevelType w:val="hybridMultilevel"/>
    <w:tmpl w:val="B0CAAAC0"/>
    <w:lvl w:ilvl="0" w:tplc="280A0001">
      <w:start w:val="1"/>
      <w:numFmt w:val="bullet"/>
      <w:lvlText w:val=""/>
      <w:lvlJc w:val="left"/>
      <w:pPr>
        <w:ind w:left="720" w:hanging="360"/>
      </w:pPr>
      <w:rPr>
        <w:rFonts w:ascii="Symbol" w:hAnsi="Symbol" w:hint="default"/>
      </w:rPr>
    </w:lvl>
    <w:lvl w:ilvl="1" w:tplc="280A0003">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
    <w:nsid w:val="0ACC609B"/>
    <w:multiLevelType w:val="hybridMultilevel"/>
    <w:tmpl w:val="D5AE29C8"/>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
    <w:nsid w:val="0C8878DF"/>
    <w:multiLevelType w:val="hybridMultilevel"/>
    <w:tmpl w:val="9E022A2C"/>
    <w:lvl w:ilvl="0" w:tplc="280A001B">
      <w:start w:val="1"/>
      <w:numFmt w:val="lowerRoman"/>
      <w:lvlText w:val="%1."/>
      <w:lvlJc w:val="righ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4">
    <w:nsid w:val="0DF10C63"/>
    <w:multiLevelType w:val="hybridMultilevel"/>
    <w:tmpl w:val="E8B632EA"/>
    <w:lvl w:ilvl="0" w:tplc="280A000F">
      <w:start w:val="1"/>
      <w:numFmt w:val="decimal"/>
      <w:lvlText w:val="%1."/>
      <w:lvlJc w:val="left"/>
      <w:pPr>
        <w:ind w:left="720" w:hanging="360"/>
      </w:pPr>
    </w:lvl>
    <w:lvl w:ilvl="1" w:tplc="280A0019">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5">
    <w:nsid w:val="14702E67"/>
    <w:multiLevelType w:val="hybridMultilevel"/>
    <w:tmpl w:val="9F644C18"/>
    <w:lvl w:ilvl="0" w:tplc="280A0001">
      <w:start w:val="1"/>
      <w:numFmt w:val="bullet"/>
      <w:lvlText w:val=""/>
      <w:lvlJc w:val="left"/>
      <w:pPr>
        <w:ind w:left="720" w:hanging="360"/>
      </w:pPr>
      <w:rPr>
        <w:rFonts w:ascii="Symbol" w:hAnsi="Symbol" w:hint="default"/>
      </w:rPr>
    </w:lvl>
    <w:lvl w:ilvl="1" w:tplc="280A0003">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6">
    <w:nsid w:val="16C47FA9"/>
    <w:multiLevelType w:val="hybridMultilevel"/>
    <w:tmpl w:val="8F16E3B2"/>
    <w:lvl w:ilvl="0" w:tplc="280A000F">
      <w:start w:val="1"/>
      <w:numFmt w:val="decimal"/>
      <w:lvlText w:val="%1."/>
      <w:lvlJc w:val="left"/>
      <w:pPr>
        <w:ind w:left="720" w:hanging="360"/>
      </w:pPr>
    </w:lvl>
    <w:lvl w:ilvl="1" w:tplc="280A0019">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7">
    <w:nsid w:val="1B8B5C9C"/>
    <w:multiLevelType w:val="hybridMultilevel"/>
    <w:tmpl w:val="3FFAEBB2"/>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8">
    <w:nsid w:val="1E6B1903"/>
    <w:multiLevelType w:val="hybridMultilevel"/>
    <w:tmpl w:val="9618B9F0"/>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9">
    <w:nsid w:val="2E5E13D2"/>
    <w:multiLevelType w:val="hybridMultilevel"/>
    <w:tmpl w:val="42AAE84E"/>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0">
    <w:nsid w:val="36C905AC"/>
    <w:multiLevelType w:val="hybridMultilevel"/>
    <w:tmpl w:val="9C3E8AC8"/>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1">
    <w:nsid w:val="3F1E3032"/>
    <w:multiLevelType w:val="hybridMultilevel"/>
    <w:tmpl w:val="6FE8815A"/>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2">
    <w:nsid w:val="40B2311D"/>
    <w:multiLevelType w:val="hybridMultilevel"/>
    <w:tmpl w:val="DC52BF6E"/>
    <w:lvl w:ilvl="0" w:tplc="280A0011">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3">
    <w:nsid w:val="4CF75566"/>
    <w:multiLevelType w:val="hybridMultilevel"/>
    <w:tmpl w:val="DB669C68"/>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4">
    <w:nsid w:val="4D102975"/>
    <w:multiLevelType w:val="hybridMultilevel"/>
    <w:tmpl w:val="5BDC9F2A"/>
    <w:lvl w:ilvl="0" w:tplc="280A000F">
      <w:start w:val="1"/>
      <w:numFmt w:val="decimal"/>
      <w:lvlText w:val="%1."/>
      <w:lvlJc w:val="left"/>
      <w:pPr>
        <w:ind w:left="773" w:hanging="360"/>
      </w:pPr>
    </w:lvl>
    <w:lvl w:ilvl="1" w:tplc="280A0019">
      <w:start w:val="1"/>
      <w:numFmt w:val="lowerLetter"/>
      <w:lvlText w:val="%2."/>
      <w:lvlJc w:val="left"/>
      <w:pPr>
        <w:ind w:left="1493" w:hanging="360"/>
      </w:pPr>
    </w:lvl>
    <w:lvl w:ilvl="2" w:tplc="280A001B" w:tentative="1">
      <w:start w:val="1"/>
      <w:numFmt w:val="lowerRoman"/>
      <w:lvlText w:val="%3."/>
      <w:lvlJc w:val="right"/>
      <w:pPr>
        <w:ind w:left="2213" w:hanging="180"/>
      </w:pPr>
    </w:lvl>
    <w:lvl w:ilvl="3" w:tplc="280A000F" w:tentative="1">
      <w:start w:val="1"/>
      <w:numFmt w:val="decimal"/>
      <w:lvlText w:val="%4."/>
      <w:lvlJc w:val="left"/>
      <w:pPr>
        <w:ind w:left="2933" w:hanging="360"/>
      </w:pPr>
    </w:lvl>
    <w:lvl w:ilvl="4" w:tplc="280A0019" w:tentative="1">
      <w:start w:val="1"/>
      <w:numFmt w:val="lowerLetter"/>
      <w:lvlText w:val="%5."/>
      <w:lvlJc w:val="left"/>
      <w:pPr>
        <w:ind w:left="3653" w:hanging="360"/>
      </w:pPr>
    </w:lvl>
    <w:lvl w:ilvl="5" w:tplc="280A001B" w:tentative="1">
      <w:start w:val="1"/>
      <w:numFmt w:val="lowerRoman"/>
      <w:lvlText w:val="%6."/>
      <w:lvlJc w:val="right"/>
      <w:pPr>
        <w:ind w:left="4373" w:hanging="180"/>
      </w:pPr>
    </w:lvl>
    <w:lvl w:ilvl="6" w:tplc="280A000F" w:tentative="1">
      <w:start w:val="1"/>
      <w:numFmt w:val="decimal"/>
      <w:lvlText w:val="%7."/>
      <w:lvlJc w:val="left"/>
      <w:pPr>
        <w:ind w:left="5093" w:hanging="360"/>
      </w:pPr>
    </w:lvl>
    <w:lvl w:ilvl="7" w:tplc="280A0019" w:tentative="1">
      <w:start w:val="1"/>
      <w:numFmt w:val="lowerLetter"/>
      <w:lvlText w:val="%8."/>
      <w:lvlJc w:val="left"/>
      <w:pPr>
        <w:ind w:left="5813" w:hanging="360"/>
      </w:pPr>
    </w:lvl>
    <w:lvl w:ilvl="8" w:tplc="280A001B" w:tentative="1">
      <w:start w:val="1"/>
      <w:numFmt w:val="lowerRoman"/>
      <w:lvlText w:val="%9."/>
      <w:lvlJc w:val="right"/>
      <w:pPr>
        <w:ind w:left="6533" w:hanging="180"/>
      </w:pPr>
    </w:lvl>
  </w:abstractNum>
  <w:abstractNum w:abstractNumId="15">
    <w:nsid w:val="54242C1C"/>
    <w:multiLevelType w:val="hybridMultilevel"/>
    <w:tmpl w:val="BD38A08A"/>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6">
    <w:nsid w:val="56D20539"/>
    <w:multiLevelType w:val="hybridMultilevel"/>
    <w:tmpl w:val="12F21EF2"/>
    <w:lvl w:ilvl="0" w:tplc="280A000F">
      <w:start w:val="1"/>
      <w:numFmt w:val="decimal"/>
      <w:lvlText w:val="%1."/>
      <w:lvlJc w:val="left"/>
      <w:pPr>
        <w:ind w:left="720" w:hanging="360"/>
      </w:pPr>
    </w:lvl>
    <w:lvl w:ilvl="1" w:tplc="280A0019">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7">
    <w:nsid w:val="57CB3CA5"/>
    <w:multiLevelType w:val="hybridMultilevel"/>
    <w:tmpl w:val="8DF0AA70"/>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8">
    <w:nsid w:val="59E56922"/>
    <w:multiLevelType w:val="hybridMultilevel"/>
    <w:tmpl w:val="322075B8"/>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9">
    <w:nsid w:val="5A564BA9"/>
    <w:multiLevelType w:val="hybridMultilevel"/>
    <w:tmpl w:val="CBF28574"/>
    <w:lvl w:ilvl="0" w:tplc="280A0001">
      <w:start w:val="1"/>
      <w:numFmt w:val="bullet"/>
      <w:lvlText w:val=""/>
      <w:lvlJc w:val="left"/>
      <w:pPr>
        <w:ind w:left="774" w:hanging="360"/>
      </w:pPr>
      <w:rPr>
        <w:rFonts w:ascii="Symbol" w:hAnsi="Symbol" w:hint="default"/>
      </w:rPr>
    </w:lvl>
    <w:lvl w:ilvl="1" w:tplc="280A0003" w:tentative="1">
      <w:start w:val="1"/>
      <w:numFmt w:val="bullet"/>
      <w:lvlText w:val="o"/>
      <w:lvlJc w:val="left"/>
      <w:pPr>
        <w:ind w:left="1494" w:hanging="360"/>
      </w:pPr>
      <w:rPr>
        <w:rFonts w:ascii="Courier New" w:hAnsi="Courier New" w:cs="Courier New" w:hint="default"/>
      </w:rPr>
    </w:lvl>
    <w:lvl w:ilvl="2" w:tplc="280A0005" w:tentative="1">
      <w:start w:val="1"/>
      <w:numFmt w:val="bullet"/>
      <w:lvlText w:val=""/>
      <w:lvlJc w:val="left"/>
      <w:pPr>
        <w:ind w:left="2214" w:hanging="360"/>
      </w:pPr>
      <w:rPr>
        <w:rFonts w:ascii="Wingdings" w:hAnsi="Wingdings" w:hint="default"/>
      </w:rPr>
    </w:lvl>
    <w:lvl w:ilvl="3" w:tplc="280A0001" w:tentative="1">
      <w:start w:val="1"/>
      <w:numFmt w:val="bullet"/>
      <w:lvlText w:val=""/>
      <w:lvlJc w:val="left"/>
      <w:pPr>
        <w:ind w:left="2934" w:hanging="360"/>
      </w:pPr>
      <w:rPr>
        <w:rFonts w:ascii="Symbol" w:hAnsi="Symbol" w:hint="default"/>
      </w:rPr>
    </w:lvl>
    <w:lvl w:ilvl="4" w:tplc="280A0003" w:tentative="1">
      <w:start w:val="1"/>
      <w:numFmt w:val="bullet"/>
      <w:lvlText w:val="o"/>
      <w:lvlJc w:val="left"/>
      <w:pPr>
        <w:ind w:left="3654" w:hanging="360"/>
      </w:pPr>
      <w:rPr>
        <w:rFonts w:ascii="Courier New" w:hAnsi="Courier New" w:cs="Courier New" w:hint="default"/>
      </w:rPr>
    </w:lvl>
    <w:lvl w:ilvl="5" w:tplc="280A0005" w:tentative="1">
      <w:start w:val="1"/>
      <w:numFmt w:val="bullet"/>
      <w:lvlText w:val=""/>
      <w:lvlJc w:val="left"/>
      <w:pPr>
        <w:ind w:left="4374" w:hanging="360"/>
      </w:pPr>
      <w:rPr>
        <w:rFonts w:ascii="Wingdings" w:hAnsi="Wingdings" w:hint="default"/>
      </w:rPr>
    </w:lvl>
    <w:lvl w:ilvl="6" w:tplc="280A0001" w:tentative="1">
      <w:start w:val="1"/>
      <w:numFmt w:val="bullet"/>
      <w:lvlText w:val=""/>
      <w:lvlJc w:val="left"/>
      <w:pPr>
        <w:ind w:left="5094" w:hanging="360"/>
      </w:pPr>
      <w:rPr>
        <w:rFonts w:ascii="Symbol" w:hAnsi="Symbol" w:hint="default"/>
      </w:rPr>
    </w:lvl>
    <w:lvl w:ilvl="7" w:tplc="280A0003" w:tentative="1">
      <w:start w:val="1"/>
      <w:numFmt w:val="bullet"/>
      <w:lvlText w:val="o"/>
      <w:lvlJc w:val="left"/>
      <w:pPr>
        <w:ind w:left="5814" w:hanging="360"/>
      </w:pPr>
      <w:rPr>
        <w:rFonts w:ascii="Courier New" w:hAnsi="Courier New" w:cs="Courier New" w:hint="default"/>
      </w:rPr>
    </w:lvl>
    <w:lvl w:ilvl="8" w:tplc="280A0005" w:tentative="1">
      <w:start w:val="1"/>
      <w:numFmt w:val="bullet"/>
      <w:lvlText w:val=""/>
      <w:lvlJc w:val="left"/>
      <w:pPr>
        <w:ind w:left="6534" w:hanging="360"/>
      </w:pPr>
      <w:rPr>
        <w:rFonts w:ascii="Wingdings" w:hAnsi="Wingdings" w:hint="default"/>
      </w:rPr>
    </w:lvl>
  </w:abstractNum>
  <w:abstractNum w:abstractNumId="20">
    <w:nsid w:val="5D8347AF"/>
    <w:multiLevelType w:val="hybridMultilevel"/>
    <w:tmpl w:val="8E327528"/>
    <w:lvl w:ilvl="0" w:tplc="280A000F">
      <w:start w:val="1"/>
      <w:numFmt w:val="decimal"/>
      <w:lvlText w:val="%1."/>
      <w:lvlJc w:val="left"/>
      <w:pPr>
        <w:ind w:left="720" w:hanging="360"/>
      </w:pPr>
    </w:lvl>
    <w:lvl w:ilvl="1" w:tplc="280A0019">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1">
    <w:nsid w:val="6BBC5A6E"/>
    <w:multiLevelType w:val="hybridMultilevel"/>
    <w:tmpl w:val="EE40A0C2"/>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2">
    <w:nsid w:val="721E3BF6"/>
    <w:multiLevelType w:val="hybridMultilevel"/>
    <w:tmpl w:val="5D224132"/>
    <w:lvl w:ilvl="0" w:tplc="280A000F">
      <w:start w:val="1"/>
      <w:numFmt w:val="decimal"/>
      <w:lvlText w:val="%1."/>
      <w:lvlJc w:val="left"/>
      <w:pPr>
        <w:ind w:left="720" w:hanging="360"/>
      </w:pPr>
    </w:lvl>
    <w:lvl w:ilvl="1" w:tplc="280A0011">
      <w:start w:val="1"/>
      <w:numFmt w:val="decimal"/>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3">
    <w:nsid w:val="72545035"/>
    <w:multiLevelType w:val="hybridMultilevel"/>
    <w:tmpl w:val="AC8E4F66"/>
    <w:lvl w:ilvl="0" w:tplc="280A0001">
      <w:start w:val="1"/>
      <w:numFmt w:val="bullet"/>
      <w:lvlText w:val=""/>
      <w:lvlJc w:val="left"/>
      <w:pPr>
        <w:ind w:left="774" w:hanging="360"/>
      </w:pPr>
      <w:rPr>
        <w:rFonts w:ascii="Symbol" w:hAnsi="Symbol" w:hint="default"/>
      </w:rPr>
    </w:lvl>
    <w:lvl w:ilvl="1" w:tplc="280A0003">
      <w:start w:val="1"/>
      <w:numFmt w:val="bullet"/>
      <w:lvlText w:val="o"/>
      <w:lvlJc w:val="left"/>
      <w:pPr>
        <w:ind w:left="1494" w:hanging="360"/>
      </w:pPr>
      <w:rPr>
        <w:rFonts w:ascii="Courier New" w:hAnsi="Courier New" w:cs="Courier New" w:hint="default"/>
      </w:rPr>
    </w:lvl>
    <w:lvl w:ilvl="2" w:tplc="280A0005" w:tentative="1">
      <w:start w:val="1"/>
      <w:numFmt w:val="bullet"/>
      <w:lvlText w:val=""/>
      <w:lvlJc w:val="left"/>
      <w:pPr>
        <w:ind w:left="2214" w:hanging="360"/>
      </w:pPr>
      <w:rPr>
        <w:rFonts w:ascii="Wingdings" w:hAnsi="Wingdings" w:hint="default"/>
      </w:rPr>
    </w:lvl>
    <w:lvl w:ilvl="3" w:tplc="280A0001" w:tentative="1">
      <w:start w:val="1"/>
      <w:numFmt w:val="bullet"/>
      <w:lvlText w:val=""/>
      <w:lvlJc w:val="left"/>
      <w:pPr>
        <w:ind w:left="2934" w:hanging="360"/>
      </w:pPr>
      <w:rPr>
        <w:rFonts w:ascii="Symbol" w:hAnsi="Symbol" w:hint="default"/>
      </w:rPr>
    </w:lvl>
    <w:lvl w:ilvl="4" w:tplc="280A0003" w:tentative="1">
      <w:start w:val="1"/>
      <w:numFmt w:val="bullet"/>
      <w:lvlText w:val="o"/>
      <w:lvlJc w:val="left"/>
      <w:pPr>
        <w:ind w:left="3654" w:hanging="360"/>
      </w:pPr>
      <w:rPr>
        <w:rFonts w:ascii="Courier New" w:hAnsi="Courier New" w:cs="Courier New" w:hint="default"/>
      </w:rPr>
    </w:lvl>
    <w:lvl w:ilvl="5" w:tplc="280A0005" w:tentative="1">
      <w:start w:val="1"/>
      <w:numFmt w:val="bullet"/>
      <w:lvlText w:val=""/>
      <w:lvlJc w:val="left"/>
      <w:pPr>
        <w:ind w:left="4374" w:hanging="360"/>
      </w:pPr>
      <w:rPr>
        <w:rFonts w:ascii="Wingdings" w:hAnsi="Wingdings" w:hint="default"/>
      </w:rPr>
    </w:lvl>
    <w:lvl w:ilvl="6" w:tplc="280A0001" w:tentative="1">
      <w:start w:val="1"/>
      <w:numFmt w:val="bullet"/>
      <w:lvlText w:val=""/>
      <w:lvlJc w:val="left"/>
      <w:pPr>
        <w:ind w:left="5094" w:hanging="360"/>
      </w:pPr>
      <w:rPr>
        <w:rFonts w:ascii="Symbol" w:hAnsi="Symbol" w:hint="default"/>
      </w:rPr>
    </w:lvl>
    <w:lvl w:ilvl="7" w:tplc="280A0003" w:tentative="1">
      <w:start w:val="1"/>
      <w:numFmt w:val="bullet"/>
      <w:lvlText w:val="o"/>
      <w:lvlJc w:val="left"/>
      <w:pPr>
        <w:ind w:left="5814" w:hanging="360"/>
      </w:pPr>
      <w:rPr>
        <w:rFonts w:ascii="Courier New" w:hAnsi="Courier New" w:cs="Courier New" w:hint="default"/>
      </w:rPr>
    </w:lvl>
    <w:lvl w:ilvl="8" w:tplc="280A0005" w:tentative="1">
      <w:start w:val="1"/>
      <w:numFmt w:val="bullet"/>
      <w:lvlText w:val=""/>
      <w:lvlJc w:val="left"/>
      <w:pPr>
        <w:ind w:left="6534" w:hanging="360"/>
      </w:pPr>
      <w:rPr>
        <w:rFonts w:ascii="Wingdings" w:hAnsi="Wingdings" w:hint="default"/>
      </w:rPr>
    </w:lvl>
  </w:abstractNum>
  <w:abstractNum w:abstractNumId="24">
    <w:nsid w:val="725B56AB"/>
    <w:multiLevelType w:val="hybridMultilevel"/>
    <w:tmpl w:val="3468055A"/>
    <w:lvl w:ilvl="0" w:tplc="280A0001">
      <w:start w:val="1"/>
      <w:numFmt w:val="bullet"/>
      <w:lvlText w:val=""/>
      <w:lvlJc w:val="left"/>
      <w:pPr>
        <w:ind w:left="774" w:hanging="360"/>
      </w:pPr>
      <w:rPr>
        <w:rFonts w:ascii="Symbol" w:hAnsi="Symbol" w:hint="default"/>
      </w:rPr>
    </w:lvl>
    <w:lvl w:ilvl="1" w:tplc="280A0003" w:tentative="1">
      <w:start w:val="1"/>
      <w:numFmt w:val="bullet"/>
      <w:lvlText w:val="o"/>
      <w:lvlJc w:val="left"/>
      <w:pPr>
        <w:ind w:left="1494" w:hanging="360"/>
      </w:pPr>
      <w:rPr>
        <w:rFonts w:ascii="Courier New" w:hAnsi="Courier New" w:cs="Courier New" w:hint="default"/>
      </w:rPr>
    </w:lvl>
    <w:lvl w:ilvl="2" w:tplc="280A0005" w:tentative="1">
      <w:start w:val="1"/>
      <w:numFmt w:val="bullet"/>
      <w:lvlText w:val=""/>
      <w:lvlJc w:val="left"/>
      <w:pPr>
        <w:ind w:left="2214" w:hanging="360"/>
      </w:pPr>
      <w:rPr>
        <w:rFonts w:ascii="Wingdings" w:hAnsi="Wingdings" w:hint="default"/>
      </w:rPr>
    </w:lvl>
    <w:lvl w:ilvl="3" w:tplc="280A0001" w:tentative="1">
      <w:start w:val="1"/>
      <w:numFmt w:val="bullet"/>
      <w:lvlText w:val=""/>
      <w:lvlJc w:val="left"/>
      <w:pPr>
        <w:ind w:left="2934" w:hanging="360"/>
      </w:pPr>
      <w:rPr>
        <w:rFonts w:ascii="Symbol" w:hAnsi="Symbol" w:hint="default"/>
      </w:rPr>
    </w:lvl>
    <w:lvl w:ilvl="4" w:tplc="280A0003" w:tentative="1">
      <w:start w:val="1"/>
      <w:numFmt w:val="bullet"/>
      <w:lvlText w:val="o"/>
      <w:lvlJc w:val="left"/>
      <w:pPr>
        <w:ind w:left="3654" w:hanging="360"/>
      </w:pPr>
      <w:rPr>
        <w:rFonts w:ascii="Courier New" w:hAnsi="Courier New" w:cs="Courier New" w:hint="default"/>
      </w:rPr>
    </w:lvl>
    <w:lvl w:ilvl="5" w:tplc="280A0005" w:tentative="1">
      <w:start w:val="1"/>
      <w:numFmt w:val="bullet"/>
      <w:lvlText w:val=""/>
      <w:lvlJc w:val="left"/>
      <w:pPr>
        <w:ind w:left="4374" w:hanging="360"/>
      </w:pPr>
      <w:rPr>
        <w:rFonts w:ascii="Wingdings" w:hAnsi="Wingdings" w:hint="default"/>
      </w:rPr>
    </w:lvl>
    <w:lvl w:ilvl="6" w:tplc="280A0001" w:tentative="1">
      <w:start w:val="1"/>
      <w:numFmt w:val="bullet"/>
      <w:lvlText w:val=""/>
      <w:lvlJc w:val="left"/>
      <w:pPr>
        <w:ind w:left="5094" w:hanging="360"/>
      </w:pPr>
      <w:rPr>
        <w:rFonts w:ascii="Symbol" w:hAnsi="Symbol" w:hint="default"/>
      </w:rPr>
    </w:lvl>
    <w:lvl w:ilvl="7" w:tplc="280A0003" w:tentative="1">
      <w:start w:val="1"/>
      <w:numFmt w:val="bullet"/>
      <w:lvlText w:val="o"/>
      <w:lvlJc w:val="left"/>
      <w:pPr>
        <w:ind w:left="5814" w:hanging="360"/>
      </w:pPr>
      <w:rPr>
        <w:rFonts w:ascii="Courier New" w:hAnsi="Courier New" w:cs="Courier New" w:hint="default"/>
      </w:rPr>
    </w:lvl>
    <w:lvl w:ilvl="8" w:tplc="280A0005" w:tentative="1">
      <w:start w:val="1"/>
      <w:numFmt w:val="bullet"/>
      <w:lvlText w:val=""/>
      <w:lvlJc w:val="left"/>
      <w:pPr>
        <w:ind w:left="6534" w:hanging="360"/>
      </w:pPr>
      <w:rPr>
        <w:rFonts w:ascii="Wingdings" w:hAnsi="Wingdings" w:hint="default"/>
      </w:rPr>
    </w:lvl>
  </w:abstractNum>
  <w:abstractNum w:abstractNumId="25">
    <w:nsid w:val="7989402F"/>
    <w:multiLevelType w:val="hybridMultilevel"/>
    <w:tmpl w:val="34E6D88A"/>
    <w:lvl w:ilvl="0" w:tplc="280A0001">
      <w:start w:val="1"/>
      <w:numFmt w:val="bullet"/>
      <w:lvlText w:val=""/>
      <w:lvlJc w:val="left"/>
      <w:pPr>
        <w:ind w:left="1440" w:hanging="360"/>
      </w:pPr>
      <w:rPr>
        <w:rFonts w:ascii="Symbol" w:hAnsi="Symbol" w:hint="default"/>
      </w:rPr>
    </w:lvl>
    <w:lvl w:ilvl="1" w:tplc="280A0003" w:tentative="1">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26">
    <w:nsid w:val="7B024C59"/>
    <w:multiLevelType w:val="hybridMultilevel"/>
    <w:tmpl w:val="756E6E6C"/>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7">
    <w:nsid w:val="7B2B037A"/>
    <w:multiLevelType w:val="hybridMultilevel"/>
    <w:tmpl w:val="0E24C7E0"/>
    <w:lvl w:ilvl="0" w:tplc="280A0001">
      <w:start w:val="1"/>
      <w:numFmt w:val="bullet"/>
      <w:lvlText w:val=""/>
      <w:lvlJc w:val="left"/>
      <w:pPr>
        <w:ind w:left="720" w:hanging="360"/>
      </w:pPr>
      <w:rPr>
        <w:rFonts w:ascii="Symbol" w:hAnsi="Symbol" w:hint="default"/>
      </w:rPr>
    </w:lvl>
    <w:lvl w:ilvl="1" w:tplc="280A0003">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8">
    <w:nsid w:val="7C786147"/>
    <w:multiLevelType w:val="hybridMultilevel"/>
    <w:tmpl w:val="743EEDAC"/>
    <w:lvl w:ilvl="0" w:tplc="280A0001">
      <w:start w:val="1"/>
      <w:numFmt w:val="bullet"/>
      <w:lvlText w:val=""/>
      <w:lvlJc w:val="left"/>
      <w:pPr>
        <w:ind w:left="773" w:hanging="360"/>
      </w:pPr>
      <w:rPr>
        <w:rFonts w:ascii="Symbol" w:hAnsi="Symbol" w:hint="default"/>
      </w:rPr>
    </w:lvl>
    <w:lvl w:ilvl="1" w:tplc="280A0003" w:tentative="1">
      <w:start w:val="1"/>
      <w:numFmt w:val="bullet"/>
      <w:lvlText w:val="o"/>
      <w:lvlJc w:val="left"/>
      <w:pPr>
        <w:ind w:left="1493" w:hanging="360"/>
      </w:pPr>
      <w:rPr>
        <w:rFonts w:ascii="Courier New" w:hAnsi="Courier New" w:cs="Courier New" w:hint="default"/>
      </w:rPr>
    </w:lvl>
    <w:lvl w:ilvl="2" w:tplc="280A0005" w:tentative="1">
      <w:start w:val="1"/>
      <w:numFmt w:val="bullet"/>
      <w:lvlText w:val=""/>
      <w:lvlJc w:val="left"/>
      <w:pPr>
        <w:ind w:left="2213" w:hanging="360"/>
      </w:pPr>
      <w:rPr>
        <w:rFonts w:ascii="Wingdings" w:hAnsi="Wingdings" w:hint="default"/>
      </w:rPr>
    </w:lvl>
    <w:lvl w:ilvl="3" w:tplc="280A0001" w:tentative="1">
      <w:start w:val="1"/>
      <w:numFmt w:val="bullet"/>
      <w:lvlText w:val=""/>
      <w:lvlJc w:val="left"/>
      <w:pPr>
        <w:ind w:left="2933" w:hanging="360"/>
      </w:pPr>
      <w:rPr>
        <w:rFonts w:ascii="Symbol" w:hAnsi="Symbol" w:hint="default"/>
      </w:rPr>
    </w:lvl>
    <w:lvl w:ilvl="4" w:tplc="280A0003" w:tentative="1">
      <w:start w:val="1"/>
      <w:numFmt w:val="bullet"/>
      <w:lvlText w:val="o"/>
      <w:lvlJc w:val="left"/>
      <w:pPr>
        <w:ind w:left="3653" w:hanging="360"/>
      </w:pPr>
      <w:rPr>
        <w:rFonts w:ascii="Courier New" w:hAnsi="Courier New" w:cs="Courier New" w:hint="default"/>
      </w:rPr>
    </w:lvl>
    <w:lvl w:ilvl="5" w:tplc="280A0005" w:tentative="1">
      <w:start w:val="1"/>
      <w:numFmt w:val="bullet"/>
      <w:lvlText w:val=""/>
      <w:lvlJc w:val="left"/>
      <w:pPr>
        <w:ind w:left="4373" w:hanging="360"/>
      </w:pPr>
      <w:rPr>
        <w:rFonts w:ascii="Wingdings" w:hAnsi="Wingdings" w:hint="default"/>
      </w:rPr>
    </w:lvl>
    <w:lvl w:ilvl="6" w:tplc="280A0001" w:tentative="1">
      <w:start w:val="1"/>
      <w:numFmt w:val="bullet"/>
      <w:lvlText w:val=""/>
      <w:lvlJc w:val="left"/>
      <w:pPr>
        <w:ind w:left="5093" w:hanging="360"/>
      </w:pPr>
      <w:rPr>
        <w:rFonts w:ascii="Symbol" w:hAnsi="Symbol" w:hint="default"/>
      </w:rPr>
    </w:lvl>
    <w:lvl w:ilvl="7" w:tplc="280A0003" w:tentative="1">
      <w:start w:val="1"/>
      <w:numFmt w:val="bullet"/>
      <w:lvlText w:val="o"/>
      <w:lvlJc w:val="left"/>
      <w:pPr>
        <w:ind w:left="5813" w:hanging="360"/>
      </w:pPr>
      <w:rPr>
        <w:rFonts w:ascii="Courier New" w:hAnsi="Courier New" w:cs="Courier New" w:hint="default"/>
      </w:rPr>
    </w:lvl>
    <w:lvl w:ilvl="8" w:tplc="280A0005" w:tentative="1">
      <w:start w:val="1"/>
      <w:numFmt w:val="bullet"/>
      <w:lvlText w:val=""/>
      <w:lvlJc w:val="left"/>
      <w:pPr>
        <w:ind w:left="6533" w:hanging="360"/>
      </w:pPr>
      <w:rPr>
        <w:rFonts w:ascii="Wingdings" w:hAnsi="Wingdings" w:hint="default"/>
      </w:rPr>
    </w:lvl>
  </w:abstractNum>
  <w:abstractNum w:abstractNumId="29">
    <w:nsid w:val="7DA86F91"/>
    <w:multiLevelType w:val="hybridMultilevel"/>
    <w:tmpl w:val="AA423DAE"/>
    <w:lvl w:ilvl="0" w:tplc="B8286752">
      <w:start w:val="4"/>
      <w:numFmt w:val="upperRoman"/>
      <w:lvlText w:val="%1."/>
      <w:lvlJc w:val="left"/>
      <w:pPr>
        <w:ind w:left="0"/>
      </w:pPr>
      <w:rPr>
        <w:rFonts w:ascii="Century Gothic" w:eastAsia="Calibri" w:hAnsi="Century Gothic" w:cs="Calibri" w:hint="default"/>
        <w:b/>
        <w:i w:val="0"/>
        <w:strike w:val="0"/>
        <w:dstrike w:val="0"/>
        <w:color w:val="000000"/>
        <w:sz w:val="24"/>
        <w:szCs w:val="24"/>
        <w:u w:val="none" w:color="000000"/>
        <w:bdr w:val="none" w:sz="0" w:space="0" w:color="auto"/>
        <w:shd w:val="clear" w:color="auto" w:fill="auto"/>
        <w:vertAlign w:val="baseline"/>
      </w:rPr>
    </w:lvl>
    <w:lvl w:ilvl="1" w:tplc="A90E1E02">
      <w:start w:val="1"/>
      <w:numFmt w:val="lowerLetter"/>
      <w:lvlText w:val="%2"/>
      <w:lvlJc w:val="left"/>
      <w:pPr>
        <w:ind w:left="1036"/>
      </w:pPr>
      <w:rPr>
        <w:rFonts w:ascii="Calibri" w:eastAsia="Calibri" w:hAnsi="Calibri" w:cs="Calibri"/>
        <w:b w:val="0"/>
        <w:i w:val="0"/>
        <w:strike w:val="0"/>
        <w:dstrike w:val="0"/>
        <w:color w:val="000000"/>
        <w:sz w:val="32"/>
        <w:szCs w:val="32"/>
        <w:u w:val="none" w:color="000000"/>
        <w:bdr w:val="none" w:sz="0" w:space="0" w:color="auto"/>
        <w:shd w:val="clear" w:color="auto" w:fill="auto"/>
        <w:vertAlign w:val="baseline"/>
      </w:rPr>
    </w:lvl>
    <w:lvl w:ilvl="2" w:tplc="8FEAA3BE">
      <w:start w:val="1"/>
      <w:numFmt w:val="lowerRoman"/>
      <w:lvlText w:val="%3"/>
      <w:lvlJc w:val="left"/>
      <w:pPr>
        <w:ind w:left="1756"/>
      </w:pPr>
      <w:rPr>
        <w:rFonts w:ascii="Calibri" w:eastAsia="Calibri" w:hAnsi="Calibri" w:cs="Calibri"/>
        <w:b w:val="0"/>
        <w:i w:val="0"/>
        <w:strike w:val="0"/>
        <w:dstrike w:val="0"/>
        <w:color w:val="000000"/>
        <w:sz w:val="32"/>
        <w:szCs w:val="32"/>
        <w:u w:val="none" w:color="000000"/>
        <w:bdr w:val="none" w:sz="0" w:space="0" w:color="auto"/>
        <w:shd w:val="clear" w:color="auto" w:fill="auto"/>
        <w:vertAlign w:val="baseline"/>
      </w:rPr>
    </w:lvl>
    <w:lvl w:ilvl="3" w:tplc="2F8A32F8">
      <w:start w:val="1"/>
      <w:numFmt w:val="decimal"/>
      <w:lvlText w:val="%4"/>
      <w:lvlJc w:val="left"/>
      <w:pPr>
        <w:ind w:left="2476"/>
      </w:pPr>
      <w:rPr>
        <w:rFonts w:ascii="Calibri" w:eastAsia="Calibri" w:hAnsi="Calibri" w:cs="Calibri"/>
        <w:b w:val="0"/>
        <w:i w:val="0"/>
        <w:strike w:val="0"/>
        <w:dstrike w:val="0"/>
        <w:color w:val="000000"/>
        <w:sz w:val="32"/>
        <w:szCs w:val="32"/>
        <w:u w:val="none" w:color="000000"/>
        <w:bdr w:val="none" w:sz="0" w:space="0" w:color="auto"/>
        <w:shd w:val="clear" w:color="auto" w:fill="auto"/>
        <w:vertAlign w:val="baseline"/>
      </w:rPr>
    </w:lvl>
    <w:lvl w:ilvl="4" w:tplc="C1207840">
      <w:start w:val="1"/>
      <w:numFmt w:val="lowerLetter"/>
      <w:lvlText w:val="%5"/>
      <w:lvlJc w:val="left"/>
      <w:pPr>
        <w:ind w:left="3196"/>
      </w:pPr>
      <w:rPr>
        <w:rFonts w:ascii="Calibri" w:eastAsia="Calibri" w:hAnsi="Calibri" w:cs="Calibri"/>
        <w:b w:val="0"/>
        <w:i w:val="0"/>
        <w:strike w:val="0"/>
        <w:dstrike w:val="0"/>
        <w:color w:val="000000"/>
        <w:sz w:val="32"/>
        <w:szCs w:val="32"/>
        <w:u w:val="none" w:color="000000"/>
        <w:bdr w:val="none" w:sz="0" w:space="0" w:color="auto"/>
        <w:shd w:val="clear" w:color="auto" w:fill="auto"/>
        <w:vertAlign w:val="baseline"/>
      </w:rPr>
    </w:lvl>
    <w:lvl w:ilvl="5" w:tplc="8BC6B2F8">
      <w:start w:val="1"/>
      <w:numFmt w:val="lowerRoman"/>
      <w:lvlText w:val="%6"/>
      <w:lvlJc w:val="left"/>
      <w:pPr>
        <w:ind w:left="3916"/>
      </w:pPr>
      <w:rPr>
        <w:rFonts w:ascii="Calibri" w:eastAsia="Calibri" w:hAnsi="Calibri" w:cs="Calibri"/>
        <w:b w:val="0"/>
        <w:i w:val="0"/>
        <w:strike w:val="0"/>
        <w:dstrike w:val="0"/>
        <w:color w:val="000000"/>
        <w:sz w:val="32"/>
        <w:szCs w:val="32"/>
        <w:u w:val="none" w:color="000000"/>
        <w:bdr w:val="none" w:sz="0" w:space="0" w:color="auto"/>
        <w:shd w:val="clear" w:color="auto" w:fill="auto"/>
        <w:vertAlign w:val="baseline"/>
      </w:rPr>
    </w:lvl>
    <w:lvl w:ilvl="6" w:tplc="7966CA40">
      <w:start w:val="1"/>
      <w:numFmt w:val="decimal"/>
      <w:lvlText w:val="%7"/>
      <w:lvlJc w:val="left"/>
      <w:pPr>
        <w:ind w:left="4636"/>
      </w:pPr>
      <w:rPr>
        <w:rFonts w:ascii="Calibri" w:eastAsia="Calibri" w:hAnsi="Calibri" w:cs="Calibri"/>
        <w:b w:val="0"/>
        <w:i w:val="0"/>
        <w:strike w:val="0"/>
        <w:dstrike w:val="0"/>
        <w:color w:val="000000"/>
        <w:sz w:val="32"/>
        <w:szCs w:val="32"/>
        <w:u w:val="none" w:color="000000"/>
        <w:bdr w:val="none" w:sz="0" w:space="0" w:color="auto"/>
        <w:shd w:val="clear" w:color="auto" w:fill="auto"/>
        <w:vertAlign w:val="baseline"/>
      </w:rPr>
    </w:lvl>
    <w:lvl w:ilvl="7" w:tplc="B45A6F36">
      <w:start w:val="1"/>
      <w:numFmt w:val="lowerLetter"/>
      <w:lvlText w:val="%8"/>
      <w:lvlJc w:val="left"/>
      <w:pPr>
        <w:ind w:left="5356"/>
      </w:pPr>
      <w:rPr>
        <w:rFonts w:ascii="Calibri" w:eastAsia="Calibri" w:hAnsi="Calibri" w:cs="Calibri"/>
        <w:b w:val="0"/>
        <w:i w:val="0"/>
        <w:strike w:val="0"/>
        <w:dstrike w:val="0"/>
        <w:color w:val="000000"/>
        <w:sz w:val="32"/>
        <w:szCs w:val="32"/>
        <w:u w:val="none" w:color="000000"/>
        <w:bdr w:val="none" w:sz="0" w:space="0" w:color="auto"/>
        <w:shd w:val="clear" w:color="auto" w:fill="auto"/>
        <w:vertAlign w:val="baseline"/>
      </w:rPr>
    </w:lvl>
    <w:lvl w:ilvl="8" w:tplc="E61C79AC">
      <w:start w:val="1"/>
      <w:numFmt w:val="lowerRoman"/>
      <w:lvlText w:val="%9"/>
      <w:lvlJc w:val="left"/>
      <w:pPr>
        <w:ind w:left="6076"/>
      </w:pPr>
      <w:rPr>
        <w:rFonts w:ascii="Calibri" w:eastAsia="Calibri" w:hAnsi="Calibri" w:cs="Calibri"/>
        <w:b w:val="0"/>
        <w:i w:val="0"/>
        <w:strike w:val="0"/>
        <w:dstrike w:val="0"/>
        <w:color w:val="000000"/>
        <w:sz w:val="32"/>
        <w:szCs w:val="32"/>
        <w:u w:val="none" w:color="000000"/>
        <w:bdr w:val="none" w:sz="0" w:space="0" w:color="auto"/>
        <w:shd w:val="clear" w:color="auto" w:fill="auto"/>
        <w:vertAlign w:val="baseline"/>
      </w:rPr>
    </w:lvl>
  </w:abstractNum>
  <w:num w:numId="1">
    <w:abstractNumId w:val="3"/>
  </w:num>
  <w:num w:numId="2">
    <w:abstractNumId w:val="20"/>
  </w:num>
  <w:num w:numId="3">
    <w:abstractNumId w:val="11"/>
  </w:num>
  <w:num w:numId="4">
    <w:abstractNumId w:val="14"/>
  </w:num>
  <w:num w:numId="5">
    <w:abstractNumId w:val="26"/>
  </w:num>
  <w:num w:numId="6">
    <w:abstractNumId w:val="0"/>
  </w:num>
  <w:num w:numId="7">
    <w:abstractNumId w:val="1"/>
  </w:num>
  <w:num w:numId="8">
    <w:abstractNumId w:val="28"/>
  </w:num>
  <w:num w:numId="9">
    <w:abstractNumId w:val="22"/>
  </w:num>
  <w:num w:numId="10">
    <w:abstractNumId w:val="21"/>
  </w:num>
  <w:num w:numId="11">
    <w:abstractNumId w:val="6"/>
  </w:num>
  <w:num w:numId="12">
    <w:abstractNumId w:val="12"/>
  </w:num>
  <w:num w:numId="13">
    <w:abstractNumId w:val="29"/>
  </w:num>
  <w:num w:numId="14">
    <w:abstractNumId w:val="15"/>
  </w:num>
  <w:num w:numId="15">
    <w:abstractNumId w:val="16"/>
  </w:num>
  <w:num w:numId="16">
    <w:abstractNumId w:val="13"/>
  </w:num>
  <w:num w:numId="17">
    <w:abstractNumId w:val="10"/>
  </w:num>
  <w:num w:numId="18">
    <w:abstractNumId w:val="19"/>
  </w:num>
  <w:num w:numId="19">
    <w:abstractNumId w:val="27"/>
  </w:num>
  <w:num w:numId="20">
    <w:abstractNumId w:val="8"/>
  </w:num>
  <w:num w:numId="21">
    <w:abstractNumId w:val="4"/>
  </w:num>
  <w:num w:numId="22">
    <w:abstractNumId w:val="24"/>
  </w:num>
  <w:num w:numId="23">
    <w:abstractNumId w:val="2"/>
  </w:num>
  <w:num w:numId="24">
    <w:abstractNumId w:val="9"/>
  </w:num>
  <w:num w:numId="25">
    <w:abstractNumId w:val="17"/>
  </w:num>
  <w:num w:numId="26">
    <w:abstractNumId w:val="7"/>
  </w:num>
  <w:num w:numId="27">
    <w:abstractNumId w:val="25"/>
  </w:num>
  <w:num w:numId="28">
    <w:abstractNumId w:val="23"/>
  </w:num>
  <w:num w:numId="29">
    <w:abstractNumId w:val="18"/>
  </w:num>
  <w:num w:numId="3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91A74"/>
    <w:rsid w:val="00000E1C"/>
    <w:rsid w:val="00012881"/>
    <w:rsid w:val="00050288"/>
    <w:rsid w:val="000B4EEE"/>
    <w:rsid w:val="000B5249"/>
    <w:rsid w:val="000B630C"/>
    <w:rsid w:val="000E0FCC"/>
    <w:rsid w:val="000E6ECC"/>
    <w:rsid w:val="000F440C"/>
    <w:rsid w:val="00115663"/>
    <w:rsid w:val="00147030"/>
    <w:rsid w:val="001514D9"/>
    <w:rsid w:val="001D27B9"/>
    <w:rsid w:val="001F0B29"/>
    <w:rsid w:val="00234E66"/>
    <w:rsid w:val="002531F8"/>
    <w:rsid w:val="00304F41"/>
    <w:rsid w:val="0033326A"/>
    <w:rsid w:val="00351040"/>
    <w:rsid w:val="00361339"/>
    <w:rsid w:val="003D7FA3"/>
    <w:rsid w:val="00401012"/>
    <w:rsid w:val="00404973"/>
    <w:rsid w:val="00423442"/>
    <w:rsid w:val="00426689"/>
    <w:rsid w:val="00431E1B"/>
    <w:rsid w:val="004C7962"/>
    <w:rsid w:val="004D0A63"/>
    <w:rsid w:val="00524C60"/>
    <w:rsid w:val="00547451"/>
    <w:rsid w:val="005532F4"/>
    <w:rsid w:val="00591A74"/>
    <w:rsid w:val="005C03DA"/>
    <w:rsid w:val="005F46F2"/>
    <w:rsid w:val="00612BFA"/>
    <w:rsid w:val="00624425"/>
    <w:rsid w:val="00666FD7"/>
    <w:rsid w:val="0067196A"/>
    <w:rsid w:val="00683F9A"/>
    <w:rsid w:val="00692A96"/>
    <w:rsid w:val="006A1B8D"/>
    <w:rsid w:val="006B3F88"/>
    <w:rsid w:val="006E5A3A"/>
    <w:rsid w:val="0073010B"/>
    <w:rsid w:val="007462CE"/>
    <w:rsid w:val="00804F56"/>
    <w:rsid w:val="00806B9A"/>
    <w:rsid w:val="00811719"/>
    <w:rsid w:val="008346E6"/>
    <w:rsid w:val="00860814"/>
    <w:rsid w:val="00883F5A"/>
    <w:rsid w:val="008C3CE7"/>
    <w:rsid w:val="009063D4"/>
    <w:rsid w:val="00910525"/>
    <w:rsid w:val="00951EF3"/>
    <w:rsid w:val="00965467"/>
    <w:rsid w:val="00975907"/>
    <w:rsid w:val="009A2E3F"/>
    <w:rsid w:val="009B0966"/>
    <w:rsid w:val="009B10DF"/>
    <w:rsid w:val="009D0D70"/>
    <w:rsid w:val="009E5BC7"/>
    <w:rsid w:val="00A12F80"/>
    <w:rsid w:val="00A20B99"/>
    <w:rsid w:val="00A51D6C"/>
    <w:rsid w:val="00AE4C3C"/>
    <w:rsid w:val="00AF3EB2"/>
    <w:rsid w:val="00B03ACF"/>
    <w:rsid w:val="00B32828"/>
    <w:rsid w:val="00B4710B"/>
    <w:rsid w:val="00B51FF7"/>
    <w:rsid w:val="00B928E3"/>
    <w:rsid w:val="00BA48DF"/>
    <w:rsid w:val="00BB7B32"/>
    <w:rsid w:val="00BF3B36"/>
    <w:rsid w:val="00C13E30"/>
    <w:rsid w:val="00C47973"/>
    <w:rsid w:val="00C51D84"/>
    <w:rsid w:val="00C66D86"/>
    <w:rsid w:val="00C808FC"/>
    <w:rsid w:val="00C82209"/>
    <w:rsid w:val="00CE1C62"/>
    <w:rsid w:val="00D525FA"/>
    <w:rsid w:val="00D71D6A"/>
    <w:rsid w:val="00D76A99"/>
    <w:rsid w:val="00D92924"/>
    <w:rsid w:val="00DA143B"/>
    <w:rsid w:val="00DB4B8A"/>
    <w:rsid w:val="00DE5EB7"/>
    <w:rsid w:val="00DF2E57"/>
    <w:rsid w:val="00E2022F"/>
    <w:rsid w:val="00E41D25"/>
    <w:rsid w:val="00EB25D6"/>
    <w:rsid w:val="00EC2D1E"/>
    <w:rsid w:val="00ED64A8"/>
    <w:rsid w:val="00EE2AF8"/>
    <w:rsid w:val="00F15CA2"/>
    <w:rsid w:val="00F2555C"/>
    <w:rsid w:val="00F43498"/>
    <w:rsid w:val="00F5174B"/>
    <w:rsid w:val="00F550A8"/>
    <w:rsid w:val="00F56128"/>
    <w:rsid w:val="00F800DA"/>
    <w:rsid w:val="00F85FA8"/>
    <w:rsid w:val="00F919A6"/>
    <w:rsid w:val="00F97958"/>
    <w:rsid w:val="00FB3645"/>
    <w:rsid w:val="00FC3420"/>
    <w:rsid w:val="00FF7258"/>
    <w:rsid w:val="00FF7E94"/>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E8D896F-DC11-4B77-B954-509B99551C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91A74"/>
    <w:pPr>
      <w:spacing w:after="200" w:line="276" w:lineRule="auto"/>
    </w:pPr>
    <w:rPr>
      <w:rFonts w:ascii="Calibri" w:eastAsia="Times New Roman" w:hAnsi="Calibri" w:cs="Times New Roman"/>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notapie">
    <w:name w:val="footnote text"/>
    <w:basedOn w:val="Normal"/>
    <w:link w:val="TextonotapieCar"/>
    <w:uiPriority w:val="99"/>
    <w:rsid w:val="00591A74"/>
    <w:pPr>
      <w:spacing w:after="0" w:line="240" w:lineRule="auto"/>
    </w:pPr>
    <w:rPr>
      <w:sz w:val="20"/>
      <w:szCs w:val="20"/>
      <w:lang w:val="es-PE" w:eastAsia="es-ES"/>
    </w:rPr>
  </w:style>
  <w:style w:type="character" w:customStyle="1" w:styleId="TextonotapieCar">
    <w:name w:val="Texto nota pie Car"/>
    <w:basedOn w:val="Fuentedeprrafopredeter"/>
    <w:link w:val="Textonotapie"/>
    <w:uiPriority w:val="99"/>
    <w:rsid w:val="00591A74"/>
    <w:rPr>
      <w:rFonts w:ascii="Calibri" w:eastAsia="Times New Roman" w:hAnsi="Calibri" w:cs="Times New Roman"/>
      <w:sz w:val="20"/>
      <w:szCs w:val="20"/>
      <w:lang w:eastAsia="es-ES"/>
    </w:rPr>
  </w:style>
  <w:style w:type="character" w:styleId="Refdenotaalpie">
    <w:name w:val="footnote reference"/>
    <w:aliases w:val="Ref,de nota al pie"/>
    <w:uiPriority w:val="99"/>
    <w:rsid w:val="00591A74"/>
    <w:rPr>
      <w:vertAlign w:val="superscript"/>
    </w:rPr>
  </w:style>
  <w:style w:type="character" w:customStyle="1" w:styleId="Referenciaintensa1">
    <w:name w:val="Referencia intensa1"/>
    <w:uiPriority w:val="32"/>
    <w:qFormat/>
    <w:rsid w:val="00591A74"/>
    <w:rPr>
      <w:b/>
      <w:bCs/>
      <w:smallCaps/>
      <w:color w:val="C0504D"/>
      <w:spacing w:val="5"/>
      <w:u w:val="single"/>
    </w:rPr>
  </w:style>
  <w:style w:type="character" w:styleId="Referenciaintensa">
    <w:name w:val="Intense Reference"/>
    <w:uiPriority w:val="32"/>
    <w:qFormat/>
    <w:rsid w:val="00591A74"/>
    <w:rPr>
      <w:b/>
      <w:bCs/>
      <w:smallCaps/>
      <w:color w:val="4472C4"/>
      <w:spacing w:val="5"/>
    </w:rPr>
  </w:style>
  <w:style w:type="paragraph" w:styleId="Prrafodelista">
    <w:name w:val="List Paragraph"/>
    <w:basedOn w:val="Normal"/>
    <w:uiPriority w:val="34"/>
    <w:qFormat/>
    <w:rsid w:val="0067196A"/>
    <w:pPr>
      <w:ind w:left="720"/>
      <w:contextualSpacing/>
    </w:pPr>
  </w:style>
  <w:style w:type="paragraph" w:styleId="Sinespaciado">
    <w:name w:val="No Spacing"/>
    <w:uiPriority w:val="1"/>
    <w:qFormat/>
    <w:rsid w:val="00BA48DF"/>
    <w:pPr>
      <w:spacing w:after="0" w:line="240" w:lineRule="auto"/>
    </w:pPr>
    <w:rPr>
      <w:rFonts w:ascii="Calibri" w:eastAsia="Times New Roman" w:hAnsi="Calibri" w:cs="Times New Roman"/>
      <w:lang w:val="es-ES"/>
    </w:rPr>
  </w:style>
  <w:style w:type="character" w:styleId="Hipervnculo">
    <w:name w:val="Hyperlink"/>
    <w:basedOn w:val="Fuentedeprrafopredeter"/>
    <w:uiPriority w:val="99"/>
    <w:semiHidden/>
    <w:unhideWhenUsed/>
    <w:rsid w:val="00804F56"/>
    <w:rPr>
      <w:color w:val="0000FF"/>
      <w:u w:val="single"/>
    </w:rPr>
  </w:style>
  <w:style w:type="paragraph" w:styleId="Encabezado">
    <w:name w:val="header"/>
    <w:basedOn w:val="Normal"/>
    <w:link w:val="EncabezadoCar"/>
    <w:uiPriority w:val="99"/>
    <w:semiHidden/>
    <w:unhideWhenUsed/>
    <w:rsid w:val="00965467"/>
    <w:pPr>
      <w:tabs>
        <w:tab w:val="center" w:pos="4252"/>
        <w:tab w:val="right" w:pos="8504"/>
      </w:tabs>
      <w:spacing w:after="0" w:line="240" w:lineRule="auto"/>
      <w:ind w:left="10" w:right="110" w:firstLine="4"/>
      <w:jc w:val="both"/>
    </w:pPr>
    <w:rPr>
      <w:rFonts w:eastAsia="Calibri" w:cs="Calibri"/>
      <w:color w:val="000000"/>
      <w:sz w:val="28"/>
      <w:lang w:val="en-US"/>
    </w:rPr>
  </w:style>
  <w:style w:type="character" w:customStyle="1" w:styleId="EncabezadoCar">
    <w:name w:val="Encabezado Car"/>
    <w:basedOn w:val="Fuentedeprrafopredeter"/>
    <w:link w:val="Encabezado"/>
    <w:uiPriority w:val="99"/>
    <w:semiHidden/>
    <w:rsid w:val="00965467"/>
    <w:rPr>
      <w:rFonts w:ascii="Calibri" w:eastAsia="Calibri" w:hAnsi="Calibri" w:cs="Calibri"/>
      <w:color w:val="000000"/>
      <w:sz w:val="2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148</TotalTime>
  <Pages>5</Pages>
  <Words>1716</Words>
  <Characters>9440</Characters>
  <Application>Microsoft Office Word</Application>
  <DocSecurity>0</DocSecurity>
  <Lines>78</Lines>
  <Paragraphs>22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11134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IVAN GOMEZ TORRES</dc:creator>
  <cp:keywords/>
  <dc:description/>
  <cp:lastModifiedBy>IVAN GOMEZ TORRES</cp:lastModifiedBy>
  <cp:revision>13</cp:revision>
  <dcterms:created xsi:type="dcterms:W3CDTF">2020-06-14T02:39:00Z</dcterms:created>
  <dcterms:modified xsi:type="dcterms:W3CDTF">2020-06-25T23:40:00Z</dcterms:modified>
</cp:coreProperties>
</file>