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7694F" w14:textId="2E62662E" w:rsidR="007656C8" w:rsidRDefault="00DA3DD6">
      <w:pPr>
        <w:rPr>
          <w:lang w:val="es-ES"/>
        </w:rPr>
      </w:pPr>
      <w:r>
        <w:rPr>
          <w:lang w:val="es-ES"/>
        </w:rPr>
        <w:t>AAVV</w:t>
      </w:r>
      <w:r>
        <w:rPr>
          <w:lang w:val="es-ES"/>
        </w:rPr>
        <w:br/>
        <w:t>2022 Manual de Razonamiento Probatorio. Coordinador Jordi Ferrer Beltrán. México: Corte Suprema de Justicia de la Nación. Escuela Federal de Formación Judicial, p 480.</w:t>
      </w:r>
    </w:p>
    <w:p w14:paraId="0945F815" w14:textId="77777777" w:rsidR="00DA3DD6" w:rsidRDefault="00DA3DD6">
      <w:pPr>
        <w:rPr>
          <w:lang w:val="es-ES"/>
        </w:rPr>
      </w:pPr>
    </w:p>
    <w:p w14:paraId="3FDA23F5" w14:textId="0CD5B2DB" w:rsidR="00DA3DD6" w:rsidRDefault="00DA3DD6">
      <w:pPr>
        <w:rPr>
          <w:lang w:val="es-ES"/>
        </w:rPr>
      </w:pPr>
      <w:r>
        <w:rPr>
          <w:lang w:val="es-ES"/>
        </w:rPr>
        <w:t>Contenido</w:t>
      </w:r>
      <w:r>
        <w:rPr>
          <w:lang w:val="es-ES"/>
        </w:rPr>
        <w:br/>
      </w:r>
      <w:r>
        <w:rPr>
          <w:lang w:val="es-ES"/>
        </w:rPr>
        <w:br/>
        <w:t>Presentación</w:t>
      </w:r>
      <w:r>
        <w:rPr>
          <w:lang w:val="es-ES"/>
        </w:rPr>
        <w:br/>
        <w:t>Introducción</w:t>
      </w:r>
      <w:r>
        <w:rPr>
          <w:lang w:val="es-ES"/>
        </w:rPr>
        <w:br/>
      </w:r>
    </w:p>
    <w:p w14:paraId="65BE58F4" w14:textId="2EE4B511" w:rsidR="00DA3DD6" w:rsidRDefault="00DA3DD6">
      <w:pPr>
        <w:rPr>
          <w:lang w:val="es-ES"/>
        </w:rPr>
      </w:pPr>
      <w:r>
        <w:rPr>
          <w:lang w:val="es-ES"/>
        </w:rPr>
        <w:t>Capítulo I</w:t>
      </w:r>
      <w:r>
        <w:rPr>
          <w:lang w:val="es-ES"/>
        </w:rPr>
        <w:br/>
        <w:t>Prueba, hechos y verdad</w:t>
      </w:r>
      <w:r>
        <w:rPr>
          <w:lang w:val="es-ES"/>
        </w:rPr>
        <w:br/>
        <w:t>Daniel González Lagier</w:t>
      </w:r>
    </w:p>
    <w:p w14:paraId="4848409A" w14:textId="2A142614" w:rsidR="00087B60" w:rsidRDefault="00087B60">
      <w:pPr>
        <w:rPr>
          <w:lang w:val="es-ES"/>
        </w:rPr>
      </w:pPr>
      <w:r>
        <w:rPr>
          <w:lang w:val="es-ES"/>
        </w:rPr>
        <w:t>I. ¿Qué es “probar” un hecho?</w:t>
      </w:r>
      <w:r>
        <w:rPr>
          <w:lang w:val="es-ES"/>
        </w:rPr>
        <w:br/>
        <w:t>II. ¿Qué es un hecho?</w:t>
      </w:r>
      <w:r>
        <w:rPr>
          <w:lang w:val="es-ES"/>
        </w:rPr>
        <w:br/>
        <w:t>III. ¿Es posible conocer los hechos?</w:t>
      </w:r>
      <w:r>
        <w:rPr>
          <w:lang w:val="es-ES"/>
        </w:rPr>
        <w:br/>
        <w:t>IV. De nuevo sobre la finalidad de la prueba y la noción de verdad</w:t>
      </w:r>
      <w:r>
        <w:rPr>
          <w:lang w:val="es-ES"/>
        </w:rPr>
        <w:br/>
        <w:t>V. ¿Cuándo un enunciado es verdadero?</w:t>
      </w:r>
      <w:r>
        <w:rPr>
          <w:lang w:val="es-ES"/>
        </w:rPr>
        <w:br/>
        <w:t>VI. Una propuesta de clasificación</w:t>
      </w:r>
      <w:r w:rsidR="00F350C3">
        <w:rPr>
          <w:lang w:val="es-ES"/>
        </w:rPr>
        <w:t xml:space="preserve"> de los hechos</w:t>
      </w:r>
      <w:r w:rsidR="00F350C3">
        <w:rPr>
          <w:lang w:val="es-ES"/>
        </w:rPr>
        <w:br/>
        <w:t>VII. La prueba y los “conceptos fácticos”</w:t>
      </w:r>
      <w:r w:rsidR="00F350C3">
        <w:rPr>
          <w:lang w:val="es-ES"/>
        </w:rPr>
        <w:br/>
        <w:t>VIII. Peculiaridades de algunos de los tipos de hechos más relevantes para el Derecho</w:t>
      </w:r>
      <w:r w:rsidR="00F350C3">
        <w:rPr>
          <w:lang w:val="es-ES"/>
        </w:rPr>
        <w:br/>
        <w:t>Bibliografía</w:t>
      </w:r>
    </w:p>
    <w:p w14:paraId="6C44F56B" w14:textId="77777777" w:rsidR="00DA3DD6" w:rsidRDefault="00DA3DD6">
      <w:pPr>
        <w:rPr>
          <w:lang w:val="es-ES"/>
        </w:rPr>
      </w:pPr>
    </w:p>
    <w:p w14:paraId="79E04DAE" w14:textId="10E71677" w:rsidR="00DA3DD6" w:rsidRDefault="00DA3DD6">
      <w:pPr>
        <w:rPr>
          <w:lang w:val="es-ES"/>
        </w:rPr>
      </w:pPr>
      <w:r>
        <w:rPr>
          <w:lang w:val="es-ES"/>
        </w:rPr>
        <w:t>Capítulo II</w:t>
      </w:r>
      <w:r>
        <w:rPr>
          <w:lang w:val="es-ES"/>
        </w:rPr>
        <w:br/>
        <w:t>Los momentos de la actividad probatoria en el proceso</w:t>
      </w:r>
      <w:r>
        <w:rPr>
          <w:lang w:val="es-ES"/>
        </w:rPr>
        <w:br/>
        <w:t>Jordi Ferrer Beltrán</w:t>
      </w:r>
      <w:r w:rsidR="00F350C3">
        <w:rPr>
          <w:lang w:val="es-ES"/>
        </w:rPr>
        <w:br/>
        <w:t>I. Introducción</w:t>
      </w:r>
      <w:r w:rsidR="00F350C3">
        <w:rPr>
          <w:lang w:val="es-ES"/>
        </w:rPr>
        <w:br/>
        <w:t>II. El momento de la conformación del conjunto de elementos de juicio o pruebas</w:t>
      </w:r>
      <w:r w:rsidR="00F350C3">
        <w:rPr>
          <w:lang w:val="es-ES"/>
        </w:rPr>
        <w:br/>
        <w:t>III. El momento de la valoración de los elementos de juicio o pruebas</w:t>
      </w:r>
      <w:r w:rsidR="00F350C3">
        <w:rPr>
          <w:lang w:val="es-ES"/>
        </w:rPr>
        <w:br/>
        <w:t>IV.  El momento de la adopción de la decisión sobre los hechos probados</w:t>
      </w:r>
      <w:r w:rsidR="00F350C3">
        <w:rPr>
          <w:lang w:val="es-ES"/>
        </w:rPr>
        <w:br/>
        <w:t>V. El derecho a la prueba y su impacto en cada uno de los momentos de la actividad probatoria</w:t>
      </w:r>
      <w:r w:rsidR="00F350C3">
        <w:rPr>
          <w:lang w:val="es-ES"/>
        </w:rPr>
        <w:br/>
        <w:t>Bibliografía</w:t>
      </w:r>
    </w:p>
    <w:p w14:paraId="153D07A7" w14:textId="77777777" w:rsidR="00DA3DD6" w:rsidRDefault="00DA3DD6">
      <w:pPr>
        <w:rPr>
          <w:lang w:val="es-ES"/>
        </w:rPr>
      </w:pPr>
    </w:p>
    <w:p w14:paraId="5679C2A9" w14:textId="2145D72C" w:rsidR="00DA3DD6" w:rsidRDefault="00DA3DD6" w:rsidP="00DA3DD6">
      <w:pPr>
        <w:rPr>
          <w:lang w:val="es-ES"/>
        </w:rPr>
      </w:pPr>
      <w:r>
        <w:rPr>
          <w:lang w:val="es-ES"/>
        </w:rPr>
        <w:t>Capítulo III</w:t>
      </w:r>
      <w:r>
        <w:rPr>
          <w:lang w:val="es-ES"/>
        </w:rPr>
        <w:br/>
        <w:t>La conformación del conjunto de elementos de juicio I: proposición de pruebas</w:t>
      </w:r>
      <w:r>
        <w:rPr>
          <w:lang w:val="es-ES"/>
        </w:rPr>
        <w:br/>
      </w:r>
      <w:r>
        <w:rPr>
          <w:lang w:val="es-ES"/>
        </w:rPr>
        <w:lastRenderedPageBreak/>
        <w:t>Jordi Ferrer Beltrán</w:t>
      </w:r>
      <w:r w:rsidR="00F350C3">
        <w:rPr>
          <w:lang w:val="es-ES"/>
        </w:rPr>
        <w:br/>
        <w:t>I. Introducción</w:t>
      </w:r>
      <w:r w:rsidR="00F350C3">
        <w:rPr>
          <w:lang w:val="es-ES"/>
        </w:rPr>
        <w:br/>
        <w:t>II. Modelos de proceso</w:t>
      </w:r>
      <w:r w:rsidR="00F350C3">
        <w:rPr>
          <w:lang w:val="es-ES"/>
        </w:rPr>
        <w:br/>
        <w:t>III. Los poderes probatorios del juez y de las partes</w:t>
      </w:r>
      <w:r w:rsidR="00F350C3">
        <w:rPr>
          <w:lang w:val="es-ES"/>
        </w:rPr>
        <w:br/>
        <w:t>IV. Poderes probatorios e imparcialidad judicial</w:t>
      </w:r>
      <w:r w:rsidR="00F350C3">
        <w:rPr>
          <w:lang w:val="es-ES"/>
        </w:rPr>
        <w:br/>
        <w:t>Bibliografía</w:t>
      </w:r>
    </w:p>
    <w:p w14:paraId="0644497B" w14:textId="77777777" w:rsidR="00DA3DD6" w:rsidRDefault="00DA3DD6" w:rsidP="00DA3DD6">
      <w:pPr>
        <w:rPr>
          <w:lang w:val="es-ES"/>
        </w:rPr>
      </w:pPr>
    </w:p>
    <w:p w14:paraId="41487D3E" w14:textId="23ADC780" w:rsidR="00DA3DD6" w:rsidRDefault="00DA3DD6" w:rsidP="00DA3DD6">
      <w:pPr>
        <w:rPr>
          <w:lang w:val="es-ES"/>
        </w:rPr>
      </w:pPr>
      <w:r>
        <w:rPr>
          <w:lang w:val="es-ES"/>
        </w:rPr>
        <w:t>Capítulo IV</w:t>
      </w:r>
      <w:r>
        <w:rPr>
          <w:lang w:val="es-ES"/>
        </w:rPr>
        <w:br/>
        <w:t>La conformación del conjunto de elementos de juicio: admisión de pruebas</w:t>
      </w:r>
      <w:r>
        <w:rPr>
          <w:lang w:val="es-ES"/>
        </w:rPr>
        <w:br/>
        <w:t>Carmen Vásquez y Mercedes Fernández López</w:t>
      </w:r>
      <w:r w:rsidR="0072306A">
        <w:rPr>
          <w:lang w:val="es-ES"/>
        </w:rPr>
        <w:br/>
        <w:t>I. Criterios generales de admisibilidad de las pruebas</w:t>
      </w:r>
      <w:r w:rsidR="0072306A">
        <w:rPr>
          <w:lang w:val="es-ES"/>
        </w:rPr>
        <w:br/>
        <w:t>II. Criterios no epistémicos de admisión de pruebas</w:t>
      </w:r>
      <w:r w:rsidR="0072306A">
        <w:rPr>
          <w:lang w:val="es-ES"/>
        </w:rPr>
        <w:br/>
        <w:t>III. Admisibilidad de la prueba pericial</w:t>
      </w:r>
    </w:p>
    <w:p w14:paraId="62F4D7BD" w14:textId="77777777" w:rsidR="00DA3DD6" w:rsidRDefault="00DA3DD6" w:rsidP="00DA3DD6">
      <w:pPr>
        <w:rPr>
          <w:lang w:val="es-ES"/>
        </w:rPr>
      </w:pPr>
    </w:p>
    <w:p w14:paraId="75C831D2" w14:textId="18D0CB91" w:rsidR="00DA3DD6" w:rsidRPr="00DA3DD6" w:rsidRDefault="00DA3DD6" w:rsidP="00DA3DD6">
      <w:pPr>
        <w:rPr>
          <w:lang w:val="es-ES"/>
        </w:rPr>
      </w:pPr>
      <w:r>
        <w:rPr>
          <w:lang w:val="es-ES"/>
        </w:rPr>
        <w:t>Capítulo V</w:t>
      </w:r>
      <w:r>
        <w:rPr>
          <w:lang w:val="es-ES"/>
        </w:rPr>
        <w:br/>
        <w:t>La conformación del conjunto de elementos de juicio III. Principios generales de la práctica de la prueba</w:t>
      </w:r>
      <w:r>
        <w:rPr>
          <w:lang w:val="es-ES"/>
        </w:rPr>
        <w:br/>
        <w:t>Mercedes Fernández López</w:t>
      </w:r>
      <w:r w:rsidR="0072306A">
        <w:rPr>
          <w:lang w:val="es-ES"/>
        </w:rPr>
        <w:br/>
        <w:t>I. Introducción</w:t>
      </w:r>
      <w:r w:rsidR="0072306A">
        <w:rPr>
          <w:lang w:val="es-ES"/>
        </w:rPr>
        <w:br/>
        <w:t>II. El examen contradictorio de la prueba</w:t>
      </w:r>
      <w:r w:rsidR="0072306A">
        <w:rPr>
          <w:lang w:val="es-ES"/>
        </w:rPr>
        <w:br/>
        <w:t>III. Garantías instrumentales de la contradicción</w:t>
      </w:r>
      <w:r w:rsidR="0072306A">
        <w:rPr>
          <w:lang w:val="es-ES"/>
        </w:rPr>
        <w:br/>
        <w:t>IV. Inmediación</w:t>
      </w:r>
      <w:r w:rsidR="0072306A">
        <w:rPr>
          <w:lang w:val="es-ES"/>
        </w:rPr>
        <w:br/>
        <w:t>Bibliografía</w:t>
      </w:r>
    </w:p>
    <w:p w14:paraId="62C52C7C" w14:textId="77777777" w:rsidR="00DA3DD6" w:rsidRPr="00DA3DD6" w:rsidRDefault="00DA3DD6" w:rsidP="00DA3DD6">
      <w:pPr>
        <w:rPr>
          <w:lang w:val="es-ES"/>
        </w:rPr>
      </w:pPr>
    </w:p>
    <w:p w14:paraId="06A080CC" w14:textId="2085664B" w:rsidR="00DA3DD6" w:rsidRDefault="00DA3DD6">
      <w:pPr>
        <w:rPr>
          <w:lang w:val="es-ES"/>
        </w:rPr>
      </w:pPr>
      <w:r>
        <w:rPr>
          <w:lang w:val="es-ES"/>
        </w:rPr>
        <w:t>Capítulo VI</w:t>
      </w:r>
      <w:r>
        <w:rPr>
          <w:lang w:val="es-ES"/>
        </w:rPr>
        <w:br/>
        <w:t>La conformación del conjunto de elementos de juicio: la práctica</w:t>
      </w:r>
      <w:r w:rsidR="00087B60">
        <w:rPr>
          <w:lang w:val="es-ES"/>
        </w:rPr>
        <w:t xml:space="preserve"> de la prueba pericial y de la prueba testifical</w:t>
      </w:r>
      <w:r>
        <w:rPr>
          <w:lang w:val="es-ES"/>
        </w:rPr>
        <w:br/>
        <w:t>Carmen Vásquez</w:t>
      </w:r>
      <w:r w:rsidR="0072306A">
        <w:rPr>
          <w:lang w:val="es-ES"/>
        </w:rPr>
        <w:br/>
        <w:t>I. Introducción</w:t>
      </w:r>
      <w:r w:rsidR="0072306A">
        <w:rPr>
          <w:lang w:val="es-ES"/>
        </w:rPr>
        <w:br/>
        <w:t>II. La práctica de la prueba pericial</w:t>
      </w:r>
      <w:r w:rsidR="0072306A">
        <w:rPr>
          <w:lang w:val="es-ES"/>
        </w:rPr>
        <w:br/>
        <w:t>III. La práctica de la prueba testifical</w:t>
      </w:r>
      <w:r w:rsidR="0072306A">
        <w:rPr>
          <w:lang w:val="es-ES"/>
        </w:rPr>
        <w:br/>
        <w:t>Bibliografía</w:t>
      </w:r>
    </w:p>
    <w:p w14:paraId="712F725D" w14:textId="77777777" w:rsidR="00087B60" w:rsidRDefault="00087B60">
      <w:pPr>
        <w:rPr>
          <w:lang w:val="es-ES"/>
        </w:rPr>
      </w:pPr>
    </w:p>
    <w:p w14:paraId="10127A17" w14:textId="6A45C69B" w:rsidR="00087B60" w:rsidRDefault="00087B60" w:rsidP="00087B60">
      <w:pPr>
        <w:rPr>
          <w:lang w:val="es-ES"/>
        </w:rPr>
      </w:pPr>
      <w:r>
        <w:rPr>
          <w:lang w:val="es-ES"/>
        </w:rPr>
        <w:t>Capítulo VII</w:t>
      </w:r>
      <w:r>
        <w:rPr>
          <w:lang w:val="es-ES"/>
        </w:rPr>
        <w:br/>
        <w:t>La valoración de la prueba I: La valoración individual de la prueba</w:t>
      </w:r>
      <w:r>
        <w:rPr>
          <w:lang w:val="es-ES"/>
        </w:rPr>
        <w:br/>
        <w:t>Carmen Vásquez y Mercedes Fernández López</w:t>
      </w:r>
      <w:r w:rsidR="0072306A">
        <w:rPr>
          <w:lang w:val="es-ES"/>
        </w:rPr>
        <w:br/>
        <w:t>I. Introducción</w:t>
      </w:r>
      <w:r w:rsidR="0072306A">
        <w:rPr>
          <w:lang w:val="es-ES"/>
        </w:rPr>
        <w:br/>
      </w:r>
      <w:r w:rsidR="0072306A">
        <w:rPr>
          <w:lang w:val="es-ES"/>
        </w:rPr>
        <w:lastRenderedPageBreak/>
        <w:t>II. La valoración de la prueba pericial</w:t>
      </w:r>
      <w:r w:rsidR="0072306A">
        <w:rPr>
          <w:lang w:val="es-ES"/>
        </w:rPr>
        <w:br/>
        <w:t>III. La valoración de la prueba testifical</w:t>
      </w:r>
      <w:r w:rsidR="0072306A">
        <w:rPr>
          <w:lang w:val="es-ES"/>
        </w:rPr>
        <w:br/>
        <w:t>IV. Las declaraciones de las partes</w:t>
      </w:r>
      <w:r w:rsidR="0072306A">
        <w:rPr>
          <w:lang w:val="es-ES"/>
        </w:rPr>
        <w:br/>
        <w:t>Bibliografía</w:t>
      </w:r>
    </w:p>
    <w:p w14:paraId="64259002" w14:textId="77777777" w:rsidR="00087B60" w:rsidRDefault="00087B60">
      <w:pPr>
        <w:rPr>
          <w:lang w:val="es-ES"/>
        </w:rPr>
      </w:pPr>
    </w:p>
    <w:p w14:paraId="3020C8B8" w14:textId="77777777" w:rsidR="00087B60" w:rsidRDefault="00087B60">
      <w:pPr>
        <w:rPr>
          <w:lang w:val="es-ES"/>
        </w:rPr>
      </w:pPr>
    </w:p>
    <w:p w14:paraId="01991785" w14:textId="53DEF702" w:rsidR="00087B60" w:rsidRDefault="00087B60" w:rsidP="00087B60">
      <w:pPr>
        <w:rPr>
          <w:lang w:val="es-ES"/>
        </w:rPr>
      </w:pPr>
      <w:r>
        <w:rPr>
          <w:lang w:val="es-ES"/>
        </w:rPr>
        <w:t>Capítulo VIII</w:t>
      </w:r>
      <w:r>
        <w:rPr>
          <w:lang w:val="es-ES"/>
        </w:rPr>
        <w:br/>
        <w:t>Inferencia probatoria y valoración conjunta de la prueba</w:t>
      </w:r>
      <w:r>
        <w:rPr>
          <w:lang w:val="es-ES"/>
        </w:rPr>
        <w:br/>
        <w:t>Daniel González Lagier</w:t>
      </w:r>
      <w:r w:rsidR="0072306A">
        <w:rPr>
          <w:lang w:val="es-ES"/>
        </w:rPr>
        <w:br/>
        <w:t>I. La valoración conjunta de la prueba y la inferencia probatoria</w:t>
      </w:r>
      <w:r w:rsidR="0072306A">
        <w:rPr>
          <w:lang w:val="es-ES"/>
        </w:rPr>
        <w:br/>
        <w:t>II. ¿Qué es una inferencia? Algunas nociones de teoría de la argumentación</w:t>
      </w:r>
      <w:r w:rsidR="0072306A">
        <w:rPr>
          <w:lang w:val="es-ES"/>
        </w:rPr>
        <w:br/>
        <w:t>III. La estructura de la inferencia probatoria y sus tipos</w:t>
      </w:r>
      <w:r w:rsidR="0072306A">
        <w:rPr>
          <w:lang w:val="es-ES"/>
        </w:rPr>
        <w:br/>
        <w:t>IV. El carácter prioritario pero probabilístico de la inferencia probatoria empírica</w:t>
      </w:r>
      <w:r w:rsidR="0072306A">
        <w:rPr>
          <w:lang w:val="es-ES"/>
        </w:rPr>
        <w:br/>
        <w:t>V. Sistemas de valoración de la prueba: de la prueba legalmente tasada a la libre valoración de la prueba</w:t>
      </w:r>
      <w:r w:rsidR="0072306A">
        <w:rPr>
          <w:lang w:val="es-ES"/>
        </w:rPr>
        <w:br/>
        <w:t>VI. Los criterios de racionalidad epistemológica</w:t>
      </w:r>
      <w:r w:rsidR="0072306A">
        <w:rPr>
          <w:lang w:val="es-ES"/>
        </w:rPr>
        <w:br/>
        <w:t>Bibliografía</w:t>
      </w:r>
    </w:p>
    <w:p w14:paraId="2E155151" w14:textId="77777777" w:rsidR="00087B60" w:rsidRDefault="00087B60">
      <w:pPr>
        <w:rPr>
          <w:lang w:val="es-ES"/>
        </w:rPr>
      </w:pPr>
    </w:p>
    <w:p w14:paraId="2ED9383F" w14:textId="77777777" w:rsidR="00087B60" w:rsidRDefault="00087B60">
      <w:pPr>
        <w:rPr>
          <w:lang w:val="es-ES"/>
        </w:rPr>
      </w:pPr>
    </w:p>
    <w:p w14:paraId="0D35E671" w14:textId="176FA6F7" w:rsidR="00087B60" w:rsidRDefault="00087B60" w:rsidP="00087B60">
      <w:pPr>
        <w:rPr>
          <w:lang w:val="es-ES"/>
        </w:rPr>
      </w:pPr>
      <w:r>
        <w:rPr>
          <w:lang w:val="es-ES"/>
        </w:rPr>
        <w:t xml:space="preserve">Capítulo </w:t>
      </w:r>
      <w:r w:rsidR="0096104F">
        <w:rPr>
          <w:lang w:val="es-ES"/>
        </w:rPr>
        <w:t>I</w:t>
      </w:r>
      <w:r>
        <w:rPr>
          <w:lang w:val="es-ES"/>
        </w:rPr>
        <w:t>X</w:t>
      </w:r>
      <w:r>
        <w:rPr>
          <w:lang w:val="es-ES"/>
        </w:rPr>
        <w:br/>
        <w:t>La decisión probatoria</w:t>
      </w:r>
      <w:r>
        <w:rPr>
          <w:lang w:val="es-ES"/>
        </w:rPr>
        <w:br/>
        <w:t>Jordi Ferrer Beltrán</w:t>
      </w:r>
      <w:r w:rsidR="0072306A">
        <w:rPr>
          <w:lang w:val="es-ES"/>
        </w:rPr>
        <w:br/>
        <w:t>I. Introducción</w:t>
      </w:r>
      <w:r w:rsidR="0072306A">
        <w:rPr>
          <w:lang w:val="es-ES"/>
        </w:rPr>
        <w:br/>
        <w:t>II. Las reglas sobre la carga de la prueba</w:t>
      </w:r>
      <w:r w:rsidR="0072306A">
        <w:rPr>
          <w:lang w:val="es-ES"/>
        </w:rPr>
        <w:br/>
        <w:t>III. Las presunciones</w:t>
      </w:r>
      <w:r w:rsidR="0072306A">
        <w:rPr>
          <w:lang w:val="es-ES"/>
        </w:rPr>
        <w:br/>
        <w:t>IV. Los estándares de prueba</w:t>
      </w:r>
      <w:r w:rsidR="0072306A">
        <w:rPr>
          <w:lang w:val="es-ES"/>
        </w:rPr>
        <w:br/>
        <w:t>Bibliografía</w:t>
      </w:r>
    </w:p>
    <w:p w14:paraId="2E8A5D9C" w14:textId="77777777" w:rsidR="00087B60" w:rsidRDefault="00087B60">
      <w:pPr>
        <w:rPr>
          <w:lang w:val="es-ES"/>
        </w:rPr>
      </w:pPr>
    </w:p>
    <w:p w14:paraId="0A030F5D" w14:textId="77777777" w:rsidR="00087B60" w:rsidRDefault="00087B60">
      <w:pPr>
        <w:rPr>
          <w:lang w:val="es-ES"/>
        </w:rPr>
      </w:pPr>
    </w:p>
    <w:p w14:paraId="100007C4" w14:textId="50C25336" w:rsidR="00087B60" w:rsidRDefault="00087B60" w:rsidP="00087B60">
      <w:pPr>
        <w:rPr>
          <w:lang w:val="es-ES"/>
        </w:rPr>
      </w:pPr>
      <w:r>
        <w:rPr>
          <w:lang w:val="es-ES"/>
        </w:rPr>
        <w:t xml:space="preserve">Capítulo </w:t>
      </w:r>
      <w:r w:rsidR="0096104F">
        <w:rPr>
          <w:lang w:val="es-ES"/>
        </w:rPr>
        <w:t>X</w:t>
      </w:r>
      <w:r>
        <w:rPr>
          <w:lang w:val="es-ES"/>
        </w:rPr>
        <w:br/>
        <w:t>La motivación sobre los hechos</w:t>
      </w:r>
      <w:r>
        <w:rPr>
          <w:lang w:val="es-ES"/>
        </w:rPr>
        <w:br/>
        <w:t>Jordi Ferrer Beltrán</w:t>
      </w:r>
      <w:r w:rsidR="0096104F">
        <w:rPr>
          <w:lang w:val="es-ES"/>
        </w:rPr>
        <w:br/>
        <w:t>I. Introducción</w:t>
      </w:r>
      <w:r w:rsidR="0096104F">
        <w:rPr>
          <w:lang w:val="es-ES"/>
        </w:rPr>
        <w:br/>
        <w:t>II. Motivación como explicación y como justificación</w:t>
      </w:r>
      <w:r w:rsidR="0096104F">
        <w:rPr>
          <w:lang w:val="es-ES"/>
        </w:rPr>
        <w:br/>
        <w:t>III. La justificación de la fiabilidad atribuida a cada una de las pruebas aportadas al proceso</w:t>
      </w:r>
      <w:r w:rsidR="0096104F">
        <w:rPr>
          <w:lang w:val="es-ES"/>
        </w:rPr>
        <w:br/>
        <w:t>IV. La justificación del grado de corroboración atribuido a las distintas hipótesis</w:t>
      </w:r>
      <w:r w:rsidR="0096104F">
        <w:rPr>
          <w:lang w:val="es-ES"/>
        </w:rPr>
        <w:br/>
      </w:r>
      <w:r w:rsidR="0096104F">
        <w:rPr>
          <w:lang w:val="es-ES"/>
        </w:rPr>
        <w:lastRenderedPageBreak/>
        <w:t>V. La justificación de la decisión sobre los hechos probados</w:t>
      </w:r>
      <w:r w:rsidR="0096104F">
        <w:rPr>
          <w:lang w:val="es-ES"/>
        </w:rPr>
        <w:br/>
        <w:t>Bibliografía</w:t>
      </w:r>
    </w:p>
    <w:p w14:paraId="38898D57" w14:textId="77777777" w:rsidR="00087B60" w:rsidRPr="00DA3DD6" w:rsidRDefault="00087B60">
      <w:pPr>
        <w:rPr>
          <w:lang w:val="es-ES"/>
        </w:rPr>
      </w:pPr>
    </w:p>
    <w:sectPr w:rsidR="00087B60" w:rsidRPr="00DA3DD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7D754" w14:textId="77777777" w:rsidR="00944A98" w:rsidRDefault="00944A98" w:rsidP="009F2E25">
      <w:pPr>
        <w:spacing w:after="0" w:line="240" w:lineRule="auto"/>
      </w:pPr>
      <w:r>
        <w:separator/>
      </w:r>
    </w:p>
  </w:endnote>
  <w:endnote w:type="continuationSeparator" w:id="0">
    <w:p w14:paraId="14851D4A" w14:textId="77777777" w:rsidR="00944A98" w:rsidRDefault="00944A98" w:rsidP="009F2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0FF9B" w14:textId="5C78E120" w:rsidR="009F2E25" w:rsidRPr="009F2E25" w:rsidRDefault="009F2E25">
    <w:pPr>
      <w:pStyle w:val="Piedepgina"/>
      <w:rPr>
        <w:rFonts w:ascii="Times New Roman" w:hAnsi="Times New Roman" w:cs="Times New Roman"/>
        <w:lang w:val="es-ES"/>
      </w:rPr>
    </w:pPr>
    <w:r w:rsidRPr="009F2E25">
      <w:rPr>
        <w:rFonts w:ascii="Times New Roman" w:hAnsi="Times New Roman" w:cs="Times New Roman"/>
        <w:lang w:val="es-ES"/>
      </w:rPr>
      <w:t>www.ivangomeztorres.com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413FA" w14:textId="77777777" w:rsidR="00944A98" w:rsidRDefault="00944A98" w:rsidP="009F2E25">
      <w:pPr>
        <w:spacing w:after="0" w:line="240" w:lineRule="auto"/>
      </w:pPr>
      <w:r>
        <w:separator/>
      </w:r>
    </w:p>
  </w:footnote>
  <w:footnote w:type="continuationSeparator" w:id="0">
    <w:p w14:paraId="50976ADC" w14:textId="77777777" w:rsidR="00944A98" w:rsidRDefault="00944A98" w:rsidP="009F2E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96C1" w14:textId="5BC13D9C" w:rsidR="009F2E25" w:rsidRPr="009F2E25" w:rsidRDefault="009F2E25">
    <w:pPr>
      <w:pStyle w:val="Encabezado"/>
      <w:rPr>
        <w:rFonts w:ascii="Times New Roman" w:hAnsi="Times New Roman" w:cs="Times New Roman"/>
      </w:rPr>
    </w:pPr>
    <w:r w:rsidRPr="009F2E25">
      <w:rPr>
        <w:rFonts w:ascii="Times New Roman" w:hAnsi="Times New Roman" w:cs="Times New Roman"/>
      </w:rPr>
      <w:t>https://ivangomeztorres.com/2022-manual-de-razonamiento-probatorio/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DD6"/>
    <w:rsid w:val="00087B60"/>
    <w:rsid w:val="002030EF"/>
    <w:rsid w:val="004A1078"/>
    <w:rsid w:val="0072306A"/>
    <w:rsid w:val="007656C8"/>
    <w:rsid w:val="008A7865"/>
    <w:rsid w:val="00944A98"/>
    <w:rsid w:val="0096104F"/>
    <w:rsid w:val="009F2E25"/>
    <w:rsid w:val="00DA3DD6"/>
    <w:rsid w:val="00F350C3"/>
    <w:rsid w:val="00FE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ED461"/>
  <w15:chartTrackingRefBased/>
  <w15:docId w15:val="{7FA598DC-9BEF-4F92-9706-9BB1D6660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A3D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A3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A3D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A3D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A3D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A3D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A3D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A3D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A3D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A3D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A3D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A3D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A3DD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A3DD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A3DD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A3DD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A3DD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A3DD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A3D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A3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A3D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A3D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A3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A3DD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A3DD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A3DD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A3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A3DD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A3DD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F2E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2E25"/>
  </w:style>
  <w:style w:type="paragraph" w:styleId="Piedepgina">
    <w:name w:val="footer"/>
    <w:basedOn w:val="Normal"/>
    <w:link w:val="PiedepginaCar"/>
    <w:uiPriority w:val="99"/>
    <w:unhideWhenUsed/>
    <w:rsid w:val="009F2E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2E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B27A3-8442-4127-9BB0-B11239EC1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546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x31991@365mmt.com</dc:creator>
  <cp:keywords/>
  <dc:description/>
  <cp:lastModifiedBy>x31991@365mmt.com</cp:lastModifiedBy>
  <cp:revision>2</cp:revision>
  <dcterms:created xsi:type="dcterms:W3CDTF">2026-07-07T17:51:00Z</dcterms:created>
  <dcterms:modified xsi:type="dcterms:W3CDTF">2026-07-07T18:55:00Z</dcterms:modified>
</cp:coreProperties>
</file>