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DA8B60A" w14:textId="0C45EB95" w:rsidR="00591A74" w:rsidRPr="00991052" w:rsidRDefault="00591A74" w:rsidP="00806B9A">
      <w:pPr>
        <w:shd w:val="clear" w:color="auto" w:fill="FFFFFF" w:themeFill="background1"/>
        <w:contextualSpacing/>
        <w:jc w:val="both"/>
        <w:rPr>
          <w:rFonts w:ascii="Book Antiqua" w:eastAsia="Calibri" w:hAnsi="Book Antiqua"/>
          <w:color w:val="000000"/>
          <w:sz w:val="20"/>
          <w:szCs w:val="20"/>
          <w:lang w:val="es-PE"/>
        </w:rPr>
      </w:pPr>
      <w:r w:rsidRPr="00991052">
        <w:rPr>
          <w:rFonts w:ascii="Book Antiqua" w:eastAsia="Calibri" w:hAnsi="Book Antiqua"/>
          <w:color w:val="000000"/>
          <w:sz w:val="20"/>
          <w:szCs w:val="20"/>
          <w:lang w:val="es-PE"/>
        </w:rPr>
        <w:t xml:space="preserve">Corte Suprema – Sala Penal </w:t>
      </w:r>
      <w:r w:rsidR="00991052" w:rsidRPr="00991052">
        <w:rPr>
          <w:rFonts w:ascii="Book Antiqua" w:eastAsia="Calibri" w:hAnsi="Book Antiqua"/>
          <w:color w:val="000000"/>
          <w:sz w:val="20"/>
          <w:szCs w:val="20"/>
          <w:lang w:val="es-PE"/>
        </w:rPr>
        <w:t>Penalmente</w:t>
      </w:r>
    </w:p>
    <w:p w14:paraId="2DA8B60B" w14:textId="0615E6F3" w:rsidR="00591A74" w:rsidRPr="00991052" w:rsidRDefault="00591A74" w:rsidP="00806B9A">
      <w:pPr>
        <w:shd w:val="clear" w:color="auto" w:fill="FFFFFF" w:themeFill="background1"/>
        <w:contextualSpacing/>
        <w:jc w:val="both"/>
        <w:rPr>
          <w:rFonts w:ascii="Book Antiqua" w:eastAsia="Calibri" w:hAnsi="Book Antiqua"/>
          <w:color w:val="000000"/>
          <w:sz w:val="20"/>
          <w:szCs w:val="20"/>
          <w:lang w:val="es-PE"/>
        </w:rPr>
      </w:pPr>
      <w:r w:rsidRPr="00991052">
        <w:rPr>
          <w:rFonts w:ascii="Book Antiqua" w:eastAsia="Calibri" w:hAnsi="Book Antiqua"/>
          <w:color w:val="000000"/>
          <w:sz w:val="20"/>
          <w:szCs w:val="20"/>
          <w:lang w:val="es-PE"/>
        </w:rPr>
        <w:t xml:space="preserve">Expediente: </w:t>
      </w:r>
      <w:r w:rsidR="00173B92" w:rsidRPr="00991052">
        <w:rPr>
          <w:rFonts w:ascii="Book Antiqua" w:eastAsia="Calibri" w:hAnsi="Book Antiqua"/>
          <w:color w:val="000000"/>
          <w:sz w:val="20"/>
          <w:szCs w:val="20"/>
          <w:lang w:val="es-PE"/>
        </w:rPr>
        <w:t>Casación</w:t>
      </w:r>
      <w:r w:rsidR="00C43D30" w:rsidRPr="00991052">
        <w:rPr>
          <w:rFonts w:ascii="Book Antiqua" w:eastAsia="Calibri" w:hAnsi="Book Antiqua"/>
          <w:color w:val="000000"/>
          <w:sz w:val="20"/>
          <w:szCs w:val="20"/>
          <w:lang w:val="es-PE"/>
        </w:rPr>
        <w:t xml:space="preserve"> </w:t>
      </w:r>
      <w:proofErr w:type="spellStart"/>
      <w:r w:rsidR="00C43D30" w:rsidRPr="00991052">
        <w:rPr>
          <w:rFonts w:ascii="Book Antiqua" w:eastAsia="Calibri" w:hAnsi="Book Antiqua"/>
          <w:color w:val="000000"/>
          <w:sz w:val="20"/>
          <w:szCs w:val="20"/>
          <w:lang w:val="es-PE"/>
        </w:rPr>
        <w:t>N°</w:t>
      </w:r>
      <w:proofErr w:type="spellEnd"/>
      <w:r w:rsidR="00C43D30" w:rsidRPr="00991052">
        <w:rPr>
          <w:rFonts w:ascii="Book Antiqua" w:eastAsia="Calibri" w:hAnsi="Book Antiqua"/>
          <w:color w:val="000000"/>
          <w:sz w:val="20"/>
          <w:szCs w:val="20"/>
          <w:lang w:val="es-PE"/>
        </w:rPr>
        <w:t xml:space="preserve"> </w:t>
      </w:r>
      <w:r w:rsidR="00991052" w:rsidRPr="00991052">
        <w:rPr>
          <w:rFonts w:ascii="Book Antiqua" w:eastAsia="Calibri" w:hAnsi="Book Antiqua"/>
          <w:color w:val="000000"/>
          <w:sz w:val="20"/>
          <w:szCs w:val="20"/>
          <w:lang w:val="es-PE"/>
        </w:rPr>
        <w:t>760</w:t>
      </w:r>
      <w:r w:rsidR="00C43D30" w:rsidRPr="00991052">
        <w:rPr>
          <w:rFonts w:ascii="Book Antiqua" w:eastAsia="Calibri" w:hAnsi="Book Antiqua"/>
          <w:color w:val="000000"/>
          <w:sz w:val="20"/>
          <w:szCs w:val="20"/>
          <w:lang w:val="es-PE"/>
        </w:rPr>
        <w:t>-201</w:t>
      </w:r>
      <w:r w:rsidR="00991052" w:rsidRPr="00991052">
        <w:rPr>
          <w:rFonts w:ascii="Book Antiqua" w:eastAsia="Calibri" w:hAnsi="Book Antiqua"/>
          <w:color w:val="000000"/>
          <w:sz w:val="20"/>
          <w:szCs w:val="20"/>
          <w:lang w:val="es-PE"/>
        </w:rPr>
        <w:t>6</w:t>
      </w:r>
      <w:r w:rsidR="00D4270C" w:rsidRPr="00991052">
        <w:rPr>
          <w:rFonts w:ascii="Book Antiqua" w:eastAsia="Calibri" w:hAnsi="Book Antiqua"/>
          <w:color w:val="000000"/>
          <w:sz w:val="20"/>
          <w:szCs w:val="20"/>
          <w:lang w:val="es-PE"/>
        </w:rPr>
        <w:t xml:space="preserve"> </w:t>
      </w:r>
      <w:r w:rsidR="00991052" w:rsidRPr="00991052">
        <w:rPr>
          <w:rFonts w:ascii="Book Antiqua" w:eastAsia="Calibri" w:hAnsi="Book Antiqua"/>
          <w:color w:val="000000"/>
          <w:sz w:val="20"/>
          <w:szCs w:val="20"/>
          <w:lang w:val="es-PE"/>
        </w:rPr>
        <w:t>La Libertad</w:t>
      </w:r>
    </w:p>
    <w:p w14:paraId="0805E361" w14:textId="55B47127" w:rsidR="00043D9C" w:rsidRDefault="00043D9C" w:rsidP="00591A74">
      <w:pPr>
        <w:contextualSpacing/>
        <w:jc w:val="both"/>
        <w:rPr>
          <w:rFonts w:ascii="Book Antiqua" w:eastAsia="Calibri" w:hAnsi="Book Antiqua"/>
          <w:color w:val="000000"/>
          <w:sz w:val="20"/>
          <w:szCs w:val="20"/>
          <w:lang w:val="es-PE"/>
        </w:rPr>
      </w:pPr>
      <w:r w:rsidRPr="00991052">
        <w:rPr>
          <w:rFonts w:ascii="Book Antiqua" w:eastAsia="Calibri" w:hAnsi="Book Antiqua"/>
          <w:color w:val="000000"/>
          <w:spacing w:val="5"/>
          <w:sz w:val="20"/>
          <w:szCs w:val="20"/>
          <w:lang w:val="es-PE"/>
        </w:rPr>
        <w:t>[</w:t>
      </w:r>
      <w:bookmarkStart w:id="0" w:name="_Hlk49357233"/>
      <w:r w:rsidR="00F66878" w:rsidRPr="00991052">
        <w:rPr>
          <w:rFonts w:ascii="Book Antiqua" w:eastAsia="Calibri" w:hAnsi="Book Antiqua"/>
          <w:color w:val="000000"/>
          <w:spacing w:val="5"/>
          <w:sz w:val="20"/>
          <w:szCs w:val="20"/>
          <w:lang w:val="es-PE"/>
        </w:rPr>
        <w:t xml:space="preserve">Delito </w:t>
      </w:r>
      <w:r w:rsidR="008E5C8C">
        <w:rPr>
          <w:rFonts w:ascii="Book Antiqua" w:eastAsia="Calibri" w:hAnsi="Book Antiqua"/>
          <w:color w:val="000000"/>
          <w:spacing w:val="5"/>
          <w:sz w:val="20"/>
          <w:szCs w:val="20"/>
          <w:lang w:val="es-PE"/>
        </w:rPr>
        <w:t xml:space="preserve">contra la Fe Pública en la modalidad </w:t>
      </w:r>
      <w:bookmarkEnd w:id="0"/>
      <w:r w:rsidR="00F66878" w:rsidRPr="00991052">
        <w:rPr>
          <w:rFonts w:ascii="Book Antiqua" w:eastAsia="Calibri" w:hAnsi="Book Antiqua"/>
          <w:color w:val="000000"/>
          <w:spacing w:val="5"/>
          <w:sz w:val="20"/>
          <w:szCs w:val="20"/>
          <w:lang w:val="es-PE"/>
        </w:rPr>
        <w:t xml:space="preserve">de </w:t>
      </w:r>
      <w:r w:rsidR="00991052" w:rsidRPr="00991052">
        <w:rPr>
          <w:rFonts w:ascii="Book Antiqua" w:eastAsia="Calibri" w:hAnsi="Book Antiqua"/>
          <w:color w:val="000000"/>
          <w:spacing w:val="5"/>
          <w:sz w:val="20"/>
          <w:szCs w:val="20"/>
          <w:lang w:val="es-PE"/>
        </w:rPr>
        <w:t>Falsedad Genérica</w:t>
      </w:r>
      <w:r w:rsidRPr="00991052">
        <w:rPr>
          <w:rFonts w:ascii="Book Antiqua" w:eastAsia="Calibri" w:hAnsi="Book Antiqua"/>
          <w:color w:val="000000"/>
          <w:spacing w:val="5"/>
          <w:sz w:val="20"/>
          <w:szCs w:val="20"/>
          <w:lang w:val="es-PE"/>
        </w:rPr>
        <w:t>]</w:t>
      </w:r>
      <w:r w:rsidR="003F77D3" w:rsidRPr="00991052">
        <w:rPr>
          <w:rFonts w:ascii="Book Antiqua" w:eastAsia="Calibri" w:hAnsi="Book Antiqua"/>
          <w:color w:val="000000"/>
          <w:sz w:val="20"/>
          <w:szCs w:val="20"/>
          <w:lang w:val="es-PE"/>
        </w:rPr>
        <w:t xml:space="preserve"> </w:t>
      </w:r>
    </w:p>
    <w:p w14:paraId="7A9CAD7E" w14:textId="3C492EBC" w:rsidR="008E5C8C" w:rsidRPr="00991052" w:rsidRDefault="008E5C8C" w:rsidP="008E5C8C">
      <w:pPr>
        <w:tabs>
          <w:tab w:val="left" w:pos="1418"/>
        </w:tabs>
        <w:ind w:left="1560" w:hanging="1560"/>
        <w:contextualSpacing/>
        <w:jc w:val="both"/>
        <w:rPr>
          <w:rFonts w:ascii="Book Antiqua" w:eastAsia="Calibri" w:hAnsi="Book Antiqua"/>
          <w:color w:val="000000"/>
          <w:spacing w:val="5"/>
          <w:sz w:val="20"/>
          <w:szCs w:val="20"/>
          <w:lang w:val="es-PE"/>
        </w:rPr>
      </w:pPr>
      <w:r w:rsidRPr="00991052">
        <w:rPr>
          <w:rFonts w:ascii="Book Antiqua" w:eastAsia="Calibri" w:hAnsi="Book Antiqua"/>
          <w:color w:val="000000"/>
          <w:spacing w:val="5"/>
          <w:sz w:val="20"/>
          <w:szCs w:val="20"/>
          <w:lang w:val="es-PE"/>
        </w:rPr>
        <w:t>[</w:t>
      </w:r>
      <w:r w:rsidRPr="008E5C8C">
        <w:rPr>
          <w:rFonts w:ascii="Book Antiqua" w:eastAsia="Calibri" w:hAnsi="Book Antiqua"/>
          <w:color w:val="000000"/>
          <w:spacing w:val="5"/>
          <w:sz w:val="20"/>
          <w:szCs w:val="20"/>
          <w:lang w:val="es-PE"/>
        </w:rPr>
        <w:t xml:space="preserve">Delito contra el </w:t>
      </w:r>
      <w:r>
        <w:rPr>
          <w:rFonts w:ascii="Book Antiqua" w:eastAsia="Calibri" w:hAnsi="Book Antiqua"/>
          <w:color w:val="000000"/>
          <w:spacing w:val="5"/>
          <w:sz w:val="20"/>
          <w:szCs w:val="20"/>
          <w:lang w:val="es-PE"/>
        </w:rPr>
        <w:t>D</w:t>
      </w:r>
      <w:r w:rsidRPr="008E5C8C">
        <w:rPr>
          <w:rFonts w:ascii="Book Antiqua" w:eastAsia="Calibri" w:hAnsi="Book Antiqua"/>
          <w:color w:val="000000"/>
          <w:spacing w:val="5"/>
          <w:sz w:val="20"/>
          <w:szCs w:val="20"/>
          <w:lang w:val="es-PE"/>
        </w:rPr>
        <w:t xml:space="preserve">erecho de </w:t>
      </w:r>
      <w:r>
        <w:rPr>
          <w:rFonts w:ascii="Book Antiqua" w:eastAsia="Calibri" w:hAnsi="Book Antiqua"/>
          <w:color w:val="000000"/>
          <w:spacing w:val="5"/>
          <w:sz w:val="20"/>
          <w:szCs w:val="20"/>
          <w:lang w:val="es-PE"/>
        </w:rPr>
        <w:t>S</w:t>
      </w:r>
      <w:r w:rsidRPr="008E5C8C">
        <w:rPr>
          <w:rFonts w:ascii="Book Antiqua" w:eastAsia="Calibri" w:hAnsi="Book Antiqua"/>
          <w:color w:val="000000"/>
          <w:spacing w:val="5"/>
          <w:sz w:val="20"/>
          <w:szCs w:val="20"/>
          <w:lang w:val="es-PE"/>
        </w:rPr>
        <w:t xml:space="preserve">ufragio en la modalidad de </w:t>
      </w:r>
      <w:r>
        <w:rPr>
          <w:rFonts w:ascii="Book Antiqua" w:eastAsia="Calibri" w:hAnsi="Book Antiqua"/>
          <w:color w:val="000000"/>
          <w:spacing w:val="5"/>
          <w:sz w:val="20"/>
          <w:szCs w:val="20"/>
          <w:lang w:val="es-PE"/>
        </w:rPr>
        <w:t>I</w:t>
      </w:r>
      <w:r w:rsidRPr="008E5C8C">
        <w:rPr>
          <w:rFonts w:ascii="Book Antiqua" w:eastAsia="Calibri" w:hAnsi="Book Antiqua"/>
          <w:color w:val="000000"/>
          <w:spacing w:val="5"/>
          <w:sz w:val="20"/>
          <w:szCs w:val="20"/>
          <w:lang w:val="es-PE"/>
        </w:rPr>
        <w:t xml:space="preserve">nducción al </w:t>
      </w:r>
      <w:r>
        <w:rPr>
          <w:rFonts w:ascii="Book Antiqua" w:eastAsia="Calibri" w:hAnsi="Book Antiqua"/>
          <w:color w:val="000000"/>
          <w:spacing w:val="5"/>
          <w:sz w:val="20"/>
          <w:szCs w:val="20"/>
          <w:lang w:val="es-PE"/>
        </w:rPr>
        <w:t>V</w:t>
      </w:r>
      <w:r w:rsidRPr="008E5C8C">
        <w:rPr>
          <w:rFonts w:ascii="Book Antiqua" w:eastAsia="Calibri" w:hAnsi="Book Antiqua"/>
          <w:color w:val="000000"/>
          <w:spacing w:val="5"/>
          <w:sz w:val="20"/>
          <w:szCs w:val="20"/>
          <w:lang w:val="es-PE"/>
        </w:rPr>
        <w:t>oto</w:t>
      </w:r>
      <w:r w:rsidRPr="00991052">
        <w:rPr>
          <w:rFonts w:ascii="Book Antiqua" w:eastAsia="Calibri" w:hAnsi="Book Antiqua"/>
          <w:color w:val="000000"/>
          <w:spacing w:val="5"/>
          <w:sz w:val="20"/>
          <w:szCs w:val="20"/>
          <w:lang w:val="es-PE"/>
        </w:rPr>
        <w:t>]</w:t>
      </w:r>
    </w:p>
    <w:p w14:paraId="2DA8B60C" w14:textId="3771089F" w:rsidR="00591A74" w:rsidRPr="00991052" w:rsidRDefault="00591A74" w:rsidP="00591A74">
      <w:pPr>
        <w:contextualSpacing/>
        <w:jc w:val="both"/>
        <w:rPr>
          <w:rFonts w:ascii="Book Antiqua" w:eastAsia="Calibri" w:hAnsi="Book Antiqua"/>
          <w:color w:val="000000"/>
          <w:sz w:val="20"/>
          <w:szCs w:val="20"/>
          <w:highlight w:val="yellow"/>
          <w:lang w:val="es-PE"/>
        </w:rPr>
      </w:pPr>
      <w:r w:rsidRPr="00991052">
        <w:rPr>
          <w:rFonts w:ascii="Book Antiqua" w:eastAsia="Calibri" w:hAnsi="Book Antiqua"/>
          <w:color w:val="000000"/>
          <w:sz w:val="20"/>
          <w:szCs w:val="20"/>
          <w:lang w:val="es-PE"/>
        </w:rPr>
        <w:t>Fecha de vista de l</w:t>
      </w:r>
      <w:r w:rsidR="00806B9A" w:rsidRPr="00991052">
        <w:rPr>
          <w:rFonts w:ascii="Book Antiqua" w:eastAsia="Calibri" w:hAnsi="Book Antiqua"/>
          <w:color w:val="000000"/>
          <w:sz w:val="20"/>
          <w:szCs w:val="20"/>
          <w:lang w:val="es-PE"/>
        </w:rPr>
        <w:t xml:space="preserve">a causa: </w:t>
      </w:r>
      <w:r w:rsidR="00991052" w:rsidRPr="00991052">
        <w:rPr>
          <w:rFonts w:ascii="Book Antiqua" w:eastAsia="Calibri" w:hAnsi="Book Antiqua"/>
          <w:color w:val="000000"/>
          <w:sz w:val="20"/>
          <w:szCs w:val="20"/>
          <w:lang w:val="es-PE"/>
        </w:rPr>
        <w:t>20</w:t>
      </w:r>
      <w:r w:rsidR="00806B9A" w:rsidRPr="00991052">
        <w:rPr>
          <w:rFonts w:ascii="Book Antiqua" w:eastAsia="Calibri" w:hAnsi="Book Antiqua"/>
          <w:color w:val="000000"/>
          <w:sz w:val="20"/>
          <w:szCs w:val="20"/>
          <w:lang w:val="es-PE"/>
        </w:rPr>
        <w:t xml:space="preserve"> de </w:t>
      </w:r>
      <w:r w:rsidR="00991052" w:rsidRPr="00991052">
        <w:rPr>
          <w:rFonts w:ascii="Book Antiqua" w:eastAsia="Calibri" w:hAnsi="Book Antiqua"/>
          <w:color w:val="000000"/>
          <w:sz w:val="20"/>
          <w:szCs w:val="20"/>
          <w:lang w:val="es-PE"/>
        </w:rPr>
        <w:t xml:space="preserve">marzo </w:t>
      </w:r>
      <w:r w:rsidR="00806B9A" w:rsidRPr="00991052">
        <w:rPr>
          <w:rFonts w:ascii="Book Antiqua" w:eastAsia="Calibri" w:hAnsi="Book Antiqua"/>
          <w:color w:val="000000"/>
          <w:sz w:val="20"/>
          <w:szCs w:val="20"/>
          <w:lang w:val="es-PE"/>
        </w:rPr>
        <w:t>de 201</w:t>
      </w:r>
      <w:r w:rsidR="00FA0E20" w:rsidRPr="00991052">
        <w:rPr>
          <w:rFonts w:ascii="Book Antiqua" w:eastAsia="Calibri" w:hAnsi="Book Antiqua"/>
          <w:color w:val="000000"/>
          <w:sz w:val="20"/>
          <w:szCs w:val="20"/>
          <w:lang w:val="es-PE"/>
        </w:rPr>
        <w:t>7</w:t>
      </w:r>
    </w:p>
    <w:p w14:paraId="2DA8B60D" w14:textId="74C992E9" w:rsidR="00591A74" w:rsidRPr="00991052" w:rsidRDefault="00591A74" w:rsidP="00591A74">
      <w:pPr>
        <w:contextualSpacing/>
        <w:jc w:val="both"/>
        <w:rPr>
          <w:rFonts w:ascii="Book Antiqua" w:eastAsia="Calibri" w:hAnsi="Book Antiqua"/>
          <w:color w:val="000000"/>
          <w:sz w:val="20"/>
          <w:szCs w:val="20"/>
          <w:lang w:val="es-PE"/>
        </w:rPr>
      </w:pPr>
      <w:r w:rsidRPr="00991052">
        <w:rPr>
          <w:rFonts w:ascii="Book Antiqua" w:eastAsia="Calibri" w:hAnsi="Book Antiqua"/>
          <w:color w:val="000000"/>
          <w:sz w:val="20"/>
          <w:szCs w:val="20"/>
          <w:lang w:val="es-PE"/>
        </w:rPr>
        <w:t xml:space="preserve">Fecha de publicación en El Peruano: </w:t>
      </w:r>
      <w:r w:rsidR="00F808FE" w:rsidRPr="00991052">
        <w:rPr>
          <w:rFonts w:ascii="Book Antiqua" w:eastAsia="Calibri" w:hAnsi="Book Antiqua"/>
          <w:color w:val="000000"/>
          <w:sz w:val="20"/>
          <w:szCs w:val="20"/>
          <w:lang w:val="es-PE"/>
        </w:rPr>
        <w:t>2</w:t>
      </w:r>
      <w:r w:rsidR="00991052" w:rsidRPr="00991052">
        <w:rPr>
          <w:rFonts w:ascii="Book Antiqua" w:eastAsia="Calibri" w:hAnsi="Book Antiqua"/>
          <w:color w:val="000000"/>
          <w:sz w:val="20"/>
          <w:szCs w:val="20"/>
          <w:lang w:val="es-PE"/>
        </w:rPr>
        <w:t>6</w:t>
      </w:r>
      <w:r w:rsidR="00F66878" w:rsidRPr="00991052">
        <w:rPr>
          <w:rFonts w:ascii="Book Antiqua" w:eastAsia="Calibri" w:hAnsi="Book Antiqua"/>
          <w:color w:val="000000"/>
          <w:sz w:val="20"/>
          <w:szCs w:val="20"/>
          <w:lang w:val="es-PE"/>
        </w:rPr>
        <w:t xml:space="preserve"> de </w:t>
      </w:r>
      <w:r w:rsidR="00991052" w:rsidRPr="00991052">
        <w:rPr>
          <w:rFonts w:ascii="Book Antiqua" w:eastAsia="Calibri" w:hAnsi="Book Antiqua"/>
          <w:color w:val="000000"/>
          <w:sz w:val="20"/>
          <w:szCs w:val="20"/>
          <w:lang w:val="es-PE"/>
        </w:rPr>
        <w:t xml:space="preserve">abril </w:t>
      </w:r>
      <w:r w:rsidR="00F66878" w:rsidRPr="00991052">
        <w:rPr>
          <w:rFonts w:ascii="Book Antiqua" w:eastAsia="Calibri" w:hAnsi="Book Antiqua"/>
          <w:color w:val="000000"/>
          <w:sz w:val="20"/>
          <w:szCs w:val="20"/>
          <w:lang w:val="es-PE"/>
        </w:rPr>
        <w:t>de 2017</w:t>
      </w:r>
    </w:p>
    <w:p w14:paraId="2DA8B60E" w14:textId="77777777" w:rsidR="00591A74" w:rsidRPr="00991052" w:rsidRDefault="00591A74" w:rsidP="00591A74">
      <w:pPr>
        <w:contextualSpacing/>
        <w:jc w:val="both"/>
        <w:rPr>
          <w:rFonts w:ascii="Book Antiqua" w:hAnsi="Book Antiqua"/>
          <w:sz w:val="20"/>
          <w:szCs w:val="20"/>
          <w:highlight w:val="yellow"/>
          <w:lang w:val="es-PE"/>
        </w:rPr>
      </w:pPr>
    </w:p>
    <w:p w14:paraId="2DA8B60F" w14:textId="77777777" w:rsidR="00591A74" w:rsidRPr="00991052" w:rsidRDefault="00591A74" w:rsidP="00591A74">
      <w:pPr>
        <w:contextualSpacing/>
        <w:jc w:val="both"/>
        <w:rPr>
          <w:rFonts w:ascii="Book Antiqua" w:hAnsi="Book Antiqua"/>
          <w:sz w:val="20"/>
          <w:szCs w:val="20"/>
          <w:highlight w:val="yellow"/>
        </w:rPr>
      </w:pPr>
      <w:r w:rsidRPr="00991052">
        <w:rPr>
          <w:rFonts w:ascii="Book Antiqua" w:hAnsi="Book Antiqua"/>
          <w:noProof/>
          <w:sz w:val="20"/>
          <w:szCs w:val="20"/>
          <w:highlight w:val="yellow"/>
          <w:lang w:val="es-PE" w:eastAsia="es-PE"/>
        </w:rPr>
        <mc:AlternateContent>
          <mc:Choice Requires="wps">
            <w:drawing>
              <wp:anchor distT="0" distB="0" distL="114300" distR="114300" simplePos="0" relativeHeight="251659264" behindDoc="0" locked="0" layoutInCell="1" allowOverlap="1" wp14:anchorId="2DA8B67C" wp14:editId="2DA8B67D">
                <wp:simplePos x="0" y="0"/>
                <wp:positionH relativeFrom="column">
                  <wp:posOffset>12700</wp:posOffset>
                </wp:positionH>
                <wp:positionV relativeFrom="paragraph">
                  <wp:posOffset>110490</wp:posOffset>
                </wp:positionV>
                <wp:extent cx="4500880" cy="635"/>
                <wp:effectExtent l="16510" t="16510" r="45085" b="40005"/>
                <wp:wrapNone/>
                <wp:docPr id="8" name="Conector: angula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00880" cy="635"/>
                        </a:xfrm>
                        <a:prstGeom prst="bentConnector3">
                          <a:avLst>
                            <a:gd name="adj1" fmla="val 50000"/>
                          </a:avLst>
                        </a:prstGeom>
                        <a:noFill/>
                        <a:ln w="28575">
                          <a:solidFill>
                            <a:srgbClr val="000000"/>
                          </a:solidFill>
                          <a:miter lim="800000"/>
                          <a:headEnd/>
                          <a:tailEnd/>
                        </a:ln>
                        <a:effectLst>
                          <a:outerShdw dist="35921" dir="2700000" algn="ctr" rotWithShape="0">
                            <a:srgbClr val="808080"/>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55272C9" id="_x0000_t34" coordsize="21600,21600" o:spt="34" o:oned="t" adj="10800" path="m,l@0,0@0,21600,21600,21600e" filled="f">
                <v:stroke joinstyle="miter"/>
                <v:formulas>
                  <v:f eqn="val #0"/>
                </v:formulas>
                <v:path arrowok="t" fillok="f" o:connecttype="none"/>
                <v:handles>
                  <v:h position="#0,center"/>
                </v:handles>
                <o:lock v:ext="edit" shapetype="t"/>
              </v:shapetype>
              <v:shape id="Conector: angular 8" o:spid="_x0000_s1026" type="#_x0000_t34" style="position:absolute;margin-left:1pt;margin-top:8.7pt;width:354.4pt;height:.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" strokeweight="2.25pt">
                <v:shadow on="t"/>
              </v:shape>
            </w:pict>
          </mc:Fallback>
        </mc:AlternateContent>
      </w:r>
    </w:p>
    <w:p w14:paraId="2DA8B610" w14:textId="2599CD18" w:rsidR="00591A74" w:rsidRPr="00991052" w:rsidRDefault="00591A74" w:rsidP="00591A74">
      <w:pPr>
        <w:contextualSpacing/>
        <w:jc w:val="both"/>
        <w:rPr>
          <w:rFonts w:ascii="Book Antiqua" w:hAnsi="Book Antiqua"/>
          <w:sz w:val="20"/>
          <w:szCs w:val="20"/>
          <w:highlight w:val="yellow"/>
        </w:rPr>
      </w:pPr>
    </w:p>
    <w:p w14:paraId="2DA8B611" w14:textId="185DE74A" w:rsidR="00591A74" w:rsidRPr="00991052" w:rsidRDefault="0086623A" w:rsidP="00591A74">
      <w:pPr>
        <w:jc w:val="both"/>
        <w:rPr>
          <w:rFonts w:ascii="Book Antiqua" w:hAnsi="Book Antiqua"/>
          <w:sz w:val="20"/>
          <w:szCs w:val="20"/>
          <w:highlight w:val="yellow"/>
        </w:rPr>
      </w:pPr>
      <w:r w:rsidRPr="00991052">
        <w:rPr>
          <w:rFonts w:ascii="Book Antiqua" w:hAnsi="Book Antiqua"/>
          <w:noProof/>
          <w:sz w:val="20"/>
          <w:szCs w:val="20"/>
          <w:highlight w:val="yellow"/>
          <w:lang w:val="es-PE" w:eastAsia="es-PE"/>
        </w:rPr>
        <mc:AlternateContent>
          <mc:Choice Requires="wps">
            <w:drawing>
              <wp:anchor distT="0" distB="0" distL="114300" distR="114300" simplePos="0" relativeHeight="251660288" behindDoc="0" locked="0" layoutInCell="1" allowOverlap="1" wp14:anchorId="2DA8B67E" wp14:editId="2AFB6984">
                <wp:simplePos x="0" y="0"/>
                <wp:positionH relativeFrom="column">
                  <wp:posOffset>15334</wp:posOffset>
                </wp:positionH>
                <wp:positionV relativeFrom="paragraph">
                  <wp:posOffset>4911</wp:posOffset>
                </wp:positionV>
                <wp:extent cx="5567881" cy="2358428"/>
                <wp:effectExtent l="0" t="0" r="13970" b="22860"/>
                <wp:wrapNone/>
                <wp:docPr id="7"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67881" cy="2358428"/>
                        </a:xfrm>
                        <a:prstGeom prst="rect">
                          <a:avLst/>
                        </a:prstGeom>
                        <a:solidFill>
                          <a:srgbClr val="FFFFFF"/>
                        </a:solidFill>
                        <a:ln w="9525">
                          <a:solidFill>
                            <a:srgbClr val="000000"/>
                          </a:solidFill>
                          <a:miter lim="800000"/>
                          <a:headEnd/>
                          <a:tailEnd/>
                        </a:ln>
                      </wps:spPr>
                      <wps:txbx>
                        <w:txbxContent>
                          <w:p w14:paraId="2DA8B68E" w14:textId="244F5154" w:rsidR="004D0A63" w:rsidRPr="00991052" w:rsidRDefault="00C6698B" w:rsidP="00591A74">
                            <w:pPr>
                              <w:autoSpaceDE w:val="0"/>
                              <w:autoSpaceDN w:val="0"/>
                              <w:adjustRightInd w:val="0"/>
                              <w:spacing w:after="0"/>
                              <w:jc w:val="center"/>
                              <w:rPr>
                                <w:rStyle w:val="Referenciaintensa1"/>
                                <w:rFonts w:ascii="Book Antiqua" w:hAnsi="Book Antiqua"/>
                                <w:color w:val="000000"/>
                                <w:highlight w:val="yellow"/>
                              </w:rPr>
                            </w:pPr>
                            <w:r w:rsidRPr="00991052">
                              <w:rPr>
                                <w:rStyle w:val="Referenciaintensa1"/>
                                <w:rFonts w:ascii="Book Antiqua" w:hAnsi="Book Antiqua"/>
                                <w:color w:val="000000"/>
                                <w:highlight w:val="yellow"/>
                              </w:rPr>
                              <w:t>DELITO FUENTE EN EL DELITO DE LAVADO DE ACTIVOS</w:t>
                            </w:r>
                          </w:p>
                          <w:p w14:paraId="0C2289CF" w14:textId="6433E2AB" w:rsidR="009077F0" w:rsidRPr="00991052" w:rsidRDefault="0052134F" w:rsidP="00591A74">
                            <w:pPr>
                              <w:autoSpaceDE w:val="0"/>
                              <w:autoSpaceDN w:val="0"/>
                              <w:adjustRightInd w:val="0"/>
                              <w:spacing w:after="0"/>
                              <w:jc w:val="both"/>
                              <w:rPr>
                                <w:rFonts w:ascii="Book Antiqua" w:hAnsi="Book Antiqua"/>
                                <w:sz w:val="20"/>
                                <w:szCs w:val="20"/>
                                <w:highlight w:val="yellow"/>
                              </w:rPr>
                            </w:pPr>
                            <w:r w:rsidRPr="00991052">
                              <w:rPr>
                                <w:rFonts w:ascii="Book Antiqua" w:hAnsi="Book Antiqua"/>
                                <w:sz w:val="20"/>
                                <w:szCs w:val="20"/>
                                <w:highlight w:val="yellow"/>
                              </w:rPr>
                              <w:t>El delito fuente es un elemento normativo del tipo objetivo del delito de lavado de activos.</w:t>
                            </w:r>
                          </w:p>
                          <w:p w14:paraId="5775FB3B" w14:textId="0C2CA053" w:rsidR="00A02937" w:rsidRPr="00991052" w:rsidRDefault="000935C5" w:rsidP="00346B6F">
                            <w:pPr>
                              <w:autoSpaceDE w:val="0"/>
                              <w:autoSpaceDN w:val="0"/>
                              <w:adjustRightInd w:val="0"/>
                              <w:spacing w:after="0"/>
                              <w:jc w:val="both"/>
                              <w:rPr>
                                <w:rFonts w:ascii="Book Antiqua" w:hAnsi="Book Antiqua"/>
                                <w:bCs/>
                                <w:sz w:val="20"/>
                                <w:szCs w:val="20"/>
                                <w:highlight w:val="yellow"/>
                              </w:rPr>
                            </w:pPr>
                            <w:r w:rsidRPr="00991052">
                              <w:rPr>
                                <w:rFonts w:ascii="Book Antiqua" w:hAnsi="Book Antiqua"/>
                                <w:sz w:val="20"/>
                                <w:szCs w:val="20"/>
                                <w:highlight w:val="yellow"/>
                              </w:rPr>
                              <w:t>Una interpretación histórica, sistemática y teleológica permite concluir que</w:t>
                            </w:r>
                            <w:r w:rsidR="00CA60C9" w:rsidRPr="00991052">
                              <w:rPr>
                                <w:rFonts w:ascii="Book Antiqua" w:hAnsi="Book Antiqua"/>
                                <w:sz w:val="20"/>
                                <w:szCs w:val="20"/>
                                <w:highlight w:val="yellow"/>
                              </w:rPr>
                              <w:t xml:space="preserve"> </w:t>
                            </w:r>
                            <w:proofErr w:type="spellStart"/>
                            <w:r w:rsidR="00CA60C9" w:rsidRPr="00991052">
                              <w:rPr>
                                <w:rFonts w:ascii="Book Antiqua" w:hAnsi="Book Antiqua"/>
                                <w:sz w:val="20"/>
                                <w:szCs w:val="20"/>
                                <w:highlight w:val="yellow"/>
                              </w:rPr>
                              <w:t>eldelito</w:t>
                            </w:r>
                            <w:proofErr w:type="spellEnd"/>
                            <w:r w:rsidR="00CA60C9" w:rsidRPr="00991052">
                              <w:rPr>
                                <w:rFonts w:ascii="Book Antiqua" w:hAnsi="Book Antiqua"/>
                                <w:sz w:val="20"/>
                                <w:szCs w:val="20"/>
                                <w:highlight w:val="yellow"/>
                              </w:rPr>
                              <w:t xml:space="preserve"> fuente solo puede ser determinado grupo de delitos graves con capacidad para generar ganancias ilegales</w:t>
                            </w:r>
                            <w:r w:rsidR="00776882" w:rsidRPr="00991052">
                              <w:rPr>
                                <w:rFonts w:ascii="Book Antiqua" w:hAnsi="Book Antiqua"/>
                                <w:sz w:val="20"/>
                                <w:szCs w:val="20"/>
                                <w:highlight w:val="yellow"/>
                              </w:rPr>
                              <w:t>, dada la significativa inde</w:t>
                            </w:r>
                            <w:r w:rsidR="00346B6F" w:rsidRPr="00991052">
                              <w:rPr>
                                <w:rFonts w:ascii="Book Antiqua" w:hAnsi="Book Antiqua"/>
                                <w:sz w:val="20"/>
                                <w:szCs w:val="20"/>
                                <w:highlight w:val="yellow"/>
                              </w:rPr>
                              <w:t>te</w:t>
                            </w:r>
                            <w:r w:rsidR="00776882" w:rsidRPr="00991052">
                              <w:rPr>
                                <w:rFonts w:ascii="Book Antiqua" w:hAnsi="Book Antiqua"/>
                                <w:sz w:val="20"/>
                                <w:szCs w:val="20"/>
                                <w:highlight w:val="yellow"/>
                              </w:rPr>
                              <w:t xml:space="preserve">rminación de la cláusula abierta </w:t>
                            </w:r>
                            <w:r w:rsidR="00A02937" w:rsidRPr="00991052">
                              <w:rPr>
                                <w:rFonts w:ascii="Book Antiqua" w:hAnsi="Book Antiqua"/>
                                <w:bCs/>
                                <w:sz w:val="20"/>
                                <w:szCs w:val="20"/>
                                <w:highlight w:val="yellow"/>
                              </w:rPr>
                              <w:t xml:space="preserve">del segundo párrafo del artículo 10° del Decreto Legislativo </w:t>
                            </w:r>
                            <w:proofErr w:type="spellStart"/>
                            <w:r w:rsidR="00A02937" w:rsidRPr="00991052">
                              <w:rPr>
                                <w:rFonts w:ascii="Book Antiqua" w:hAnsi="Book Antiqua"/>
                                <w:bCs/>
                                <w:sz w:val="20"/>
                                <w:szCs w:val="20"/>
                                <w:highlight w:val="yellow"/>
                              </w:rPr>
                              <w:t>N°</w:t>
                            </w:r>
                            <w:proofErr w:type="spellEnd"/>
                            <w:r w:rsidR="00A02937" w:rsidRPr="00991052">
                              <w:rPr>
                                <w:rFonts w:ascii="Book Antiqua" w:hAnsi="Book Antiqua"/>
                                <w:bCs/>
                                <w:sz w:val="20"/>
                                <w:szCs w:val="20"/>
                                <w:highlight w:val="yellow"/>
                              </w:rPr>
                              <w:t xml:space="preserve"> 1106</w:t>
                            </w:r>
                            <w:r w:rsidR="00346B6F" w:rsidRPr="00991052">
                              <w:rPr>
                                <w:rFonts w:ascii="Book Antiqua" w:hAnsi="Book Antiqua"/>
                                <w:bCs/>
                                <w:sz w:val="20"/>
                                <w:szCs w:val="20"/>
                                <w:highlight w:val="yellow"/>
                              </w:rPr>
                              <w:t>.</w:t>
                            </w:r>
                          </w:p>
                          <w:p w14:paraId="7B2BDD46" w14:textId="6F7E1BB2" w:rsidR="00B0251F" w:rsidRPr="005C5FE8" w:rsidRDefault="00B0251F" w:rsidP="00B0251F">
                            <w:pPr>
                              <w:pStyle w:val="Sinespaciado"/>
                              <w:jc w:val="both"/>
                              <w:rPr>
                                <w:rFonts w:ascii="Book Antiqua" w:hAnsi="Book Antiqua"/>
                                <w:bCs/>
                                <w:sz w:val="20"/>
                                <w:szCs w:val="20"/>
                              </w:rPr>
                            </w:pPr>
                            <w:r w:rsidRPr="00991052">
                              <w:rPr>
                                <w:rFonts w:ascii="Book Antiqua" w:hAnsi="Book Antiqua"/>
                                <w:sz w:val="20"/>
                                <w:szCs w:val="20"/>
                                <w:highlight w:val="yellow"/>
                              </w:rPr>
                              <w:t>P</w:t>
                            </w:r>
                            <w:r w:rsidRPr="00991052">
                              <w:rPr>
                                <w:rFonts w:ascii="Book Antiqua" w:hAnsi="Book Antiqua"/>
                                <w:bCs/>
                                <w:sz w:val="20"/>
                                <w:szCs w:val="20"/>
                                <w:highlight w:val="yellow"/>
                              </w:rPr>
                              <w:t xml:space="preserve">ara incluir un determinado delito [como delito fuente] en la cláusula abierta </w:t>
                            </w:r>
                            <w:r w:rsidR="009028FB" w:rsidRPr="00991052">
                              <w:rPr>
                                <w:rFonts w:ascii="Book Antiqua" w:hAnsi="Book Antiqua"/>
                                <w:bCs/>
                                <w:sz w:val="20"/>
                                <w:szCs w:val="20"/>
                                <w:highlight w:val="yellow"/>
                              </w:rPr>
                              <w:t xml:space="preserve">mencionada, </w:t>
                            </w:r>
                            <w:r w:rsidRPr="00991052">
                              <w:rPr>
                                <w:rFonts w:ascii="Book Antiqua" w:hAnsi="Book Antiqua"/>
                                <w:bCs/>
                                <w:sz w:val="20"/>
                                <w:szCs w:val="20"/>
                                <w:highlight w:val="yellow"/>
                              </w:rPr>
                              <w:t xml:space="preserve">se tendrá en cuenta los siguientes factores: i) La descripción del suceso fáctico, ocurrido en un tiempo y lugar determinado; mencionando a su presunto autor o partícipe. </w:t>
                            </w:r>
                            <w:proofErr w:type="spellStart"/>
                            <w:r w:rsidRPr="00991052">
                              <w:rPr>
                                <w:rFonts w:ascii="Book Antiqua" w:hAnsi="Book Antiqua"/>
                                <w:bCs/>
                                <w:sz w:val="20"/>
                                <w:szCs w:val="20"/>
                                <w:highlight w:val="yellow"/>
                              </w:rPr>
                              <w:t>ii</w:t>
                            </w:r>
                            <w:proofErr w:type="spellEnd"/>
                            <w:r w:rsidRPr="00991052">
                              <w:rPr>
                                <w:rFonts w:ascii="Book Antiqua" w:hAnsi="Book Antiqua"/>
                                <w:bCs/>
                                <w:sz w:val="20"/>
                                <w:szCs w:val="20"/>
                                <w:highlight w:val="yellow"/>
                              </w:rPr>
                              <w:t xml:space="preserve">) El conocimiento o presunción de conocimiento del agente, sobre dicho delito previo; </w:t>
                            </w:r>
                            <w:proofErr w:type="spellStart"/>
                            <w:r w:rsidRPr="00991052">
                              <w:rPr>
                                <w:rFonts w:ascii="Book Antiqua" w:hAnsi="Book Antiqua"/>
                                <w:bCs/>
                                <w:sz w:val="20"/>
                                <w:szCs w:val="20"/>
                                <w:highlight w:val="yellow"/>
                              </w:rPr>
                              <w:t>iii</w:t>
                            </w:r>
                            <w:proofErr w:type="spellEnd"/>
                            <w:r w:rsidRPr="00991052">
                              <w:rPr>
                                <w:rFonts w:ascii="Book Antiqua" w:hAnsi="Book Antiqua"/>
                                <w:bCs/>
                                <w:sz w:val="20"/>
                                <w:szCs w:val="20"/>
                                <w:highlight w:val="yellow"/>
                              </w:rPr>
                              <w:t xml:space="preserve">) Su capacidad para generar ganancias ilegales; y, </w:t>
                            </w:r>
                            <w:proofErr w:type="spellStart"/>
                            <w:r w:rsidRPr="00991052">
                              <w:rPr>
                                <w:rFonts w:ascii="Book Antiqua" w:hAnsi="Book Antiqua"/>
                                <w:bCs/>
                                <w:sz w:val="20"/>
                                <w:szCs w:val="20"/>
                                <w:highlight w:val="yellow"/>
                              </w:rPr>
                              <w:t>iv</w:t>
                            </w:r>
                            <w:proofErr w:type="spellEnd"/>
                            <w:r w:rsidRPr="00991052">
                              <w:rPr>
                                <w:rFonts w:ascii="Book Antiqua" w:hAnsi="Book Antiqua"/>
                                <w:bCs/>
                                <w:sz w:val="20"/>
                                <w:szCs w:val="20"/>
                                <w:highlight w:val="yellow"/>
                              </w:rPr>
                              <w:t xml:space="preserve">) la gravedad del delito, en atención a la pena conminada en el tipo penal correspondiente; los mismos que serán materia de una motivación cualificada. De esta forma se evitará la vulneración del principio de legalidad, en su vertiente de </w:t>
                            </w:r>
                            <w:r w:rsidRPr="00991052">
                              <w:rPr>
                                <w:rFonts w:ascii="Book Antiqua" w:hAnsi="Book Antiqua"/>
                                <w:bCs/>
                                <w:i/>
                                <w:iCs/>
                                <w:sz w:val="20"/>
                                <w:szCs w:val="20"/>
                                <w:highlight w:val="yellow"/>
                              </w:rPr>
                              <w:t xml:space="preserve">lex </w:t>
                            </w:r>
                            <w:proofErr w:type="spellStart"/>
                            <w:r w:rsidRPr="00991052">
                              <w:rPr>
                                <w:rFonts w:ascii="Book Antiqua" w:hAnsi="Book Antiqua"/>
                                <w:bCs/>
                                <w:i/>
                                <w:iCs/>
                                <w:sz w:val="20"/>
                                <w:szCs w:val="20"/>
                                <w:highlight w:val="yellow"/>
                              </w:rPr>
                              <w:t>certa</w:t>
                            </w:r>
                            <w:proofErr w:type="spellEnd"/>
                            <w:r w:rsidRPr="00991052">
                              <w:rPr>
                                <w:rFonts w:ascii="Book Antiqua" w:hAnsi="Book Antiqua"/>
                                <w:bCs/>
                                <w:sz w:val="20"/>
                                <w:szCs w:val="20"/>
                                <w:highlight w:val="yellow"/>
                              </w:rPr>
                              <w:t>.</w:t>
                            </w:r>
                            <w:r w:rsidRPr="005C5FE8">
                              <w:rPr>
                                <w:rFonts w:ascii="Book Antiqua" w:hAnsi="Book Antiqua"/>
                                <w:sz w:val="20"/>
                                <w:szCs w:val="20"/>
                              </w:rPr>
                              <w:t xml:space="preserve"> </w:t>
                            </w:r>
                          </w:p>
                          <w:p w14:paraId="270F57DC" w14:textId="77777777" w:rsidR="00346B6F" w:rsidRPr="005C5FE8" w:rsidRDefault="00346B6F" w:rsidP="00346B6F">
                            <w:pPr>
                              <w:autoSpaceDE w:val="0"/>
                              <w:autoSpaceDN w:val="0"/>
                              <w:adjustRightInd w:val="0"/>
                              <w:spacing w:after="0"/>
                              <w:jc w:val="both"/>
                              <w:rPr>
                                <w:rFonts w:ascii="Book Antiqua" w:hAnsi="Book Antiqua"/>
                                <w:bCs/>
                                <w:sz w:val="20"/>
                                <w:szCs w:val="20"/>
                              </w:rPr>
                            </w:pPr>
                          </w:p>
                          <w:p w14:paraId="305447E9" w14:textId="77777777" w:rsidR="003A497B" w:rsidRPr="003E380F" w:rsidRDefault="003A497B" w:rsidP="00591A74">
                            <w:pPr>
                              <w:autoSpaceDE w:val="0"/>
                              <w:autoSpaceDN w:val="0"/>
                              <w:adjustRightInd w:val="0"/>
                              <w:spacing w:after="0"/>
                              <w:jc w:val="both"/>
                              <w:rPr>
                                <w:rStyle w:val="Referenciaintensa"/>
                                <w:rFonts w:ascii="Book Antiqua" w:hAnsi="Book Antiqua"/>
                                <w:color w:val="000000"/>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A8B67E" id="Rectángulo 7" o:spid="_x0000_s1026" style="position:absolute;left:0;text-align:left;margin-left:1.2pt;margin-top:.4pt;width:438.4pt;height:185.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">
                <v:textbox>
                  <w:txbxContent>
                    <w:p w14:paraId="2DA8B68E" w14:textId="244F5154" w:rsidR="004D0A63" w:rsidRPr="00991052" w:rsidRDefault="00C6698B" w:rsidP="00591A74">
                      <w:pPr>
                        <w:autoSpaceDE w:val="0"/>
                        <w:autoSpaceDN w:val="0"/>
                        <w:adjustRightInd w:val="0"/>
                        <w:spacing w:after="0"/>
                        <w:jc w:val="center"/>
                        <w:rPr>
                          <w:rStyle w:val="Referenciaintensa1"/>
                          <w:rFonts w:ascii="Book Antiqua" w:hAnsi="Book Antiqua"/>
                          <w:color w:val="000000"/>
                          <w:highlight w:val="yellow"/>
                        </w:rPr>
                      </w:pPr>
                      <w:r w:rsidRPr="00991052">
                        <w:rPr>
                          <w:rStyle w:val="Referenciaintensa1"/>
                          <w:rFonts w:ascii="Book Antiqua" w:hAnsi="Book Antiqua"/>
                          <w:color w:val="000000"/>
                          <w:highlight w:val="yellow"/>
                        </w:rPr>
                        <w:t>DELITO FUENTE EN EL DELITO DE LAVADO DE ACTIVOS</w:t>
                      </w:r>
                    </w:p>
                    <w:p w14:paraId="0C2289CF" w14:textId="6433E2AB" w:rsidR="009077F0" w:rsidRPr="00991052" w:rsidRDefault="0052134F" w:rsidP="00591A74">
                      <w:pPr>
                        <w:autoSpaceDE w:val="0"/>
                        <w:autoSpaceDN w:val="0"/>
                        <w:adjustRightInd w:val="0"/>
                        <w:spacing w:after="0"/>
                        <w:jc w:val="both"/>
                        <w:rPr>
                          <w:rFonts w:ascii="Book Antiqua" w:hAnsi="Book Antiqua"/>
                          <w:sz w:val="20"/>
                          <w:szCs w:val="20"/>
                          <w:highlight w:val="yellow"/>
                        </w:rPr>
                      </w:pPr>
                      <w:r w:rsidRPr="00991052">
                        <w:rPr>
                          <w:rFonts w:ascii="Book Antiqua" w:hAnsi="Book Antiqua"/>
                          <w:sz w:val="20"/>
                          <w:szCs w:val="20"/>
                          <w:highlight w:val="yellow"/>
                        </w:rPr>
                        <w:t>El delito fuente es un elemento normativo del tipo objetivo del delito de lavado de activos.</w:t>
                      </w:r>
                    </w:p>
                    <w:p w14:paraId="5775FB3B" w14:textId="0C2CA053" w:rsidR="00A02937" w:rsidRPr="00991052" w:rsidRDefault="000935C5" w:rsidP="00346B6F">
                      <w:pPr>
                        <w:autoSpaceDE w:val="0"/>
                        <w:autoSpaceDN w:val="0"/>
                        <w:adjustRightInd w:val="0"/>
                        <w:spacing w:after="0"/>
                        <w:jc w:val="both"/>
                        <w:rPr>
                          <w:rFonts w:ascii="Book Antiqua" w:hAnsi="Book Antiqua"/>
                          <w:bCs/>
                          <w:sz w:val="20"/>
                          <w:szCs w:val="20"/>
                          <w:highlight w:val="yellow"/>
                        </w:rPr>
                      </w:pPr>
                      <w:r w:rsidRPr="00991052">
                        <w:rPr>
                          <w:rFonts w:ascii="Book Antiqua" w:hAnsi="Book Antiqua"/>
                          <w:sz w:val="20"/>
                          <w:szCs w:val="20"/>
                          <w:highlight w:val="yellow"/>
                        </w:rPr>
                        <w:t>Una interpretación histórica, sistemática y teleológica permite concluir que</w:t>
                      </w:r>
                      <w:r w:rsidR="00CA60C9" w:rsidRPr="00991052">
                        <w:rPr>
                          <w:rFonts w:ascii="Book Antiqua" w:hAnsi="Book Antiqua"/>
                          <w:sz w:val="20"/>
                          <w:szCs w:val="20"/>
                          <w:highlight w:val="yellow"/>
                        </w:rPr>
                        <w:t xml:space="preserve"> eldelito fuente solo puede ser determinado grupo de delitos graves con capacidad para generar ganancias ilegales</w:t>
                      </w:r>
                      <w:r w:rsidR="00776882" w:rsidRPr="00991052">
                        <w:rPr>
                          <w:rFonts w:ascii="Book Antiqua" w:hAnsi="Book Antiqua"/>
                          <w:sz w:val="20"/>
                          <w:szCs w:val="20"/>
                          <w:highlight w:val="yellow"/>
                        </w:rPr>
                        <w:t>, dada la significativa inde</w:t>
                      </w:r>
                      <w:r w:rsidR="00346B6F" w:rsidRPr="00991052">
                        <w:rPr>
                          <w:rFonts w:ascii="Book Antiqua" w:hAnsi="Book Antiqua"/>
                          <w:sz w:val="20"/>
                          <w:szCs w:val="20"/>
                          <w:highlight w:val="yellow"/>
                        </w:rPr>
                        <w:t>te</w:t>
                      </w:r>
                      <w:r w:rsidR="00776882" w:rsidRPr="00991052">
                        <w:rPr>
                          <w:rFonts w:ascii="Book Antiqua" w:hAnsi="Book Antiqua"/>
                          <w:sz w:val="20"/>
                          <w:szCs w:val="20"/>
                          <w:highlight w:val="yellow"/>
                        </w:rPr>
                        <w:t xml:space="preserve">rminación de la cláusula abierta </w:t>
                      </w:r>
                      <w:r w:rsidR="00A02937" w:rsidRPr="00991052">
                        <w:rPr>
                          <w:rFonts w:ascii="Book Antiqua" w:hAnsi="Book Antiqua"/>
                          <w:bCs/>
                          <w:sz w:val="20"/>
                          <w:szCs w:val="20"/>
                          <w:highlight w:val="yellow"/>
                        </w:rPr>
                        <w:t>del segundo párrafo del artículo 10° del Decreto Legislativo N° 1106</w:t>
                      </w:r>
                      <w:r w:rsidR="00346B6F" w:rsidRPr="00991052">
                        <w:rPr>
                          <w:rFonts w:ascii="Book Antiqua" w:hAnsi="Book Antiqua"/>
                          <w:bCs/>
                          <w:sz w:val="20"/>
                          <w:szCs w:val="20"/>
                          <w:highlight w:val="yellow"/>
                        </w:rPr>
                        <w:t>.</w:t>
                      </w:r>
                    </w:p>
                    <w:p w14:paraId="7B2BDD46" w14:textId="6F7E1BB2" w:rsidR="00B0251F" w:rsidRPr="005C5FE8" w:rsidRDefault="00B0251F" w:rsidP="00B0251F">
                      <w:pPr>
                        <w:pStyle w:val="Sinespaciado"/>
                        <w:jc w:val="both"/>
                        <w:rPr>
                          <w:rFonts w:ascii="Book Antiqua" w:hAnsi="Book Antiqua"/>
                          <w:bCs/>
                          <w:sz w:val="20"/>
                          <w:szCs w:val="20"/>
                        </w:rPr>
                      </w:pPr>
                      <w:r w:rsidRPr="00991052">
                        <w:rPr>
                          <w:rFonts w:ascii="Book Antiqua" w:hAnsi="Book Antiqua"/>
                          <w:sz w:val="20"/>
                          <w:szCs w:val="20"/>
                          <w:highlight w:val="yellow"/>
                        </w:rPr>
                        <w:t>P</w:t>
                      </w:r>
                      <w:r w:rsidRPr="00991052">
                        <w:rPr>
                          <w:rFonts w:ascii="Book Antiqua" w:hAnsi="Book Antiqua"/>
                          <w:bCs/>
                          <w:sz w:val="20"/>
                          <w:szCs w:val="20"/>
                          <w:highlight w:val="yellow"/>
                        </w:rPr>
                        <w:t xml:space="preserve">ara incluir un determinado delito [como delito fuente] en la cláusula abierta </w:t>
                      </w:r>
                      <w:r w:rsidR="009028FB" w:rsidRPr="00991052">
                        <w:rPr>
                          <w:rFonts w:ascii="Book Antiqua" w:hAnsi="Book Antiqua"/>
                          <w:bCs/>
                          <w:sz w:val="20"/>
                          <w:szCs w:val="20"/>
                          <w:highlight w:val="yellow"/>
                        </w:rPr>
                        <w:t xml:space="preserve">mencionada, </w:t>
                      </w:r>
                      <w:r w:rsidRPr="00991052">
                        <w:rPr>
                          <w:rFonts w:ascii="Book Antiqua" w:hAnsi="Book Antiqua"/>
                          <w:bCs/>
                          <w:sz w:val="20"/>
                          <w:szCs w:val="20"/>
                          <w:highlight w:val="yellow"/>
                        </w:rPr>
                        <w:t xml:space="preserve">se tendrá en cuenta los siguientes factores: i) La descripción del suceso fáctico, ocurrido en un tiempo y lugar determinado; mencionando a su presunto autor o partícipe. ii) El conocimiento o presunción de conocimiento del agente, sobre dicho delito previo; iii) Su capacidad para generar ganancias ilegales; y, iv) la gravedad del delito, en atención a la pena conminada en el tipo penal correspondiente; los mismos que serán materia de una motivación cualificada. De esta forma se evitará la vulneración del principio de legalidad, en su vertiente de </w:t>
                      </w:r>
                      <w:r w:rsidRPr="00991052">
                        <w:rPr>
                          <w:rFonts w:ascii="Book Antiqua" w:hAnsi="Book Antiqua"/>
                          <w:bCs/>
                          <w:i/>
                          <w:iCs/>
                          <w:sz w:val="20"/>
                          <w:szCs w:val="20"/>
                          <w:highlight w:val="yellow"/>
                        </w:rPr>
                        <w:t>lex certa</w:t>
                      </w:r>
                      <w:r w:rsidRPr="00991052">
                        <w:rPr>
                          <w:rFonts w:ascii="Book Antiqua" w:hAnsi="Book Antiqua"/>
                          <w:bCs/>
                          <w:sz w:val="20"/>
                          <w:szCs w:val="20"/>
                          <w:highlight w:val="yellow"/>
                        </w:rPr>
                        <w:t>.</w:t>
                      </w:r>
                      <w:r w:rsidRPr="005C5FE8">
                        <w:rPr>
                          <w:rFonts w:ascii="Book Antiqua" w:hAnsi="Book Antiqua"/>
                          <w:sz w:val="20"/>
                          <w:szCs w:val="20"/>
                        </w:rPr>
                        <w:t xml:space="preserve"> </w:t>
                      </w:r>
                    </w:p>
                    <w:p w14:paraId="270F57DC" w14:textId="77777777" w:rsidR="00346B6F" w:rsidRPr="005C5FE8" w:rsidRDefault="00346B6F" w:rsidP="00346B6F">
                      <w:pPr>
                        <w:autoSpaceDE w:val="0"/>
                        <w:autoSpaceDN w:val="0"/>
                        <w:adjustRightInd w:val="0"/>
                        <w:spacing w:after="0"/>
                        <w:jc w:val="both"/>
                        <w:rPr>
                          <w:rFonts w:ascii="Book Antiqua" w:hAnsi="Book Antiqua"/>
                          <w:bCs/>
                          <w:sz w:val="20"/>
                          <w:szCs w:val="20"/>
                        </w:rPr>
                      </w:pPr>
                    </w:p>
                    <w:p w14:paraId="305447E9" w14:textId="77777777" w:rsidR="003A497B" w:rsidRPr="003E380F" w:rsidRDefault="003A497B" w:rsidP="00591A74">
                      <w:pPr>
                        <w:autoSpaceDE w:val="0"/>
                        <w:autoSpaceDN w:val="0"/>
                        <w:adjustRightInd w:val="0"/>
                        <w:spacing w:after="0"/>
                        <w:jc w:val="both"/>
                        <w:rPr>
                          <w:rStyle w:val="Referenciaintensa"/>
                          <w:rFonts w:ascii="Book Antiqua" w:hAnsi="Book Antiqua"/>
                          <w:color w:val="000000"/>
                          <w:sz w:val="20"/>
                          <w:szCs w:val="20"/>
                        </w:rPr>
                      </w:pPr>
                    </w:p>
                  </w:txbxContent>
                </v:textbox>
              </v:rect>
            </w:pict>
          </mc:Fallback>
        </mc:AlternateContent>
      </w:r>
    </w:p>
    <w:p w14:paraId="2DA8B612" w14:textId="77777777" w:rsidR="00591A74" w:rsidRPr="00991052" w:rsidRDefault="00591A74" w:rsidP="00591A74">
      <w:pPr>
        <w:jc w:val="both"/>
        <w:rPr>
          <w:rFonts w:ascii="Book Antiqua" w:hAnsi="Book Antiqua"/>
          <w:sz w:val="20"/>
          <w:szCs w:val="20"/>
          <w:highlight w:val="yellow"/>
        </w:rPr>
      </w:pPr>
    </w:p>
    <w:p w14:paraId="2DA8B613" w14:textId="77777777" w:rsidR="00591A74" w:rsidRPr="00991052" w:rsidRDefault="00591A74" w:rsidP="00591A74">
      <w:pPr>
        <w:jc w:val="both"/>
        <w:rPr>
          <w:rFonts w:ascii="Book Antiqua" w:hAnsi="Book Antiqua"/>
          <w:sz w:val="20"/>
          <w:szCs w:val="20"/>
          <w:highlight w:val="yellow"/>
        </w:rPr>
      </w:pPr>
    </w:p>
    <w:p w14:paraId="2DA8B614" w14:textId="77777777" w:rsidR="00591A74" w:rsidRPr="00991052" w:rsidRDefault="00591A74" w:rsidP="00591A74">
      <w:pPr>
        <w:jc w:val="both"/>
        <w:rPr>
          <w:rFonts w:ascii="Book Antiqua" w:hAnsi="Book Antiqua"/>
          <w:sz w:val="20"/>
          <w:szCs w:val="20"/>
          <w:highlight w:val="yellow"/>
        </w:rPr>
      </w:pPr>
    </w:p>
    <w:p w14:paraId="779127AF" w14:textId="77777777" w:rsidR="00A61D4A" w:rsidRPr="00991052" w:rsidRDefault="00A61D4A" w:rsidP="00591A74">
      <w:pPr>
        <w:tabs>
          <w:tab w:val="left" w:pos="0"/>
        </w:tabs>
        <w:jc w:val="both"/>
        <w:rPr>
          <w:rFonts w:ascii="Book Antiqua" w:hAnsi="Book Antiqua"/>
          <w:smallCaps/>
          <w:spacing w:val="5"/>
          <w:sz w:val="20"/>
          <w:szCs w:val="20"/>
          <w:highlight w:val="yellow"/>
        </w:rPr>
      </w:pPr>
    </w:p>
    <w:p w14:paraId="0988C237" w14:textId="77777777" w:rsidR="003A497B" w:rsidRPr="00991052" w:rsidRDefault="003A497B" w:rsidP="00591A74">
      <w:pPr>
        <w:tabs>
          <w:tab w:val="left" w:pos="0"/>
        </w:tabs>
        <w:jc w:val="both"/>
        <w:rPr>
          <w:rFonts w:ascii="Book Antiqua" w:hAnsi="Book Antiqua"/>
          <w:smallCaps/>
          <w:spacing w:val="5"/>
          <w:sz w:val="20"/>
          <w:szCs w:val="20"/>
          <w:highlight w:val="yellow"/>
        </w:rPr>
      </w:pPr>
    </w:p>
    <w:p w14:paraId="3D17B053" w14:textId="77777777" w:rsidR="003A497B" w:rsidRPr="00991052" w:rsidRDefault="003A497B" w:rsidP="00591A74">
      <w:pPr>
        <w:tabs>
          <w:tab w:val="left" w:pos="0"/>
        </w:tabs>
        <w:jc w:val="both"/>
        <w:rPr>
          <w:rFonts w:ascii="Book Antiqua" w:hAnsi="Book Antiqua"/>
          <w:smallCaps/>
          <w:spacing w:val="5"/>
          <w:sz w:val="20"/>
          <w:szCs w:val="20"/>
          <w:highlight w:val="yellow"/>
        </w:rPr>
      </w:pPr>
    </w:p>
    <w:p w14:paraId="693440FC" w14:textId="77777777" w:rsidR="00EA2CF1" w:rsidRPr="00991052" w:rsidRDefault="00EA2CF1" w:rsidP="00591A74">
      <w:pPr>
        <w:tabs>
          <w:tab w:val="left" w:pos="0"/>
        </w:tabs>
        <w:jc w:val="both"/>
        <w:rPr>
          <w:rFonts w:ascii="Book Antiqua" w:hAnsi="Book Antiqua"/>
          <w:smallCaps/>
          <w:spacing w:val="5"/>
          <w:sz w:val="20"/>
          <w:szCs w:val="20"/>
          <w:highlight w:val="yellow"/>
        </w:rPr>
      </w:pPr>
    </w:p>
    <w:p w14:paraId="2DA8B617" w14:textId="70362B9E" w:rsidR="00591A74" w:rsidRPr="00991052" w:rsidRDefault="00591A74" w:rsidP="00591A74">
      <w:pPr>
        <w:tabs>
          <w:tab w:val="left" w:pos="0"/>
        </w:tabs>
        <w:jc w:val="both"/>
        <w:rPr>
          <w:rFonts w:ascii="Book Antiqua" w:hAnsi="Book Antiqua"/>
          <w:b/>
          <w:bCs/>
          <w:smallCaps/>
          <w:spacing w:val="5"/>
          <w:sz w:val="20"/>
          <w:szCs w:val="20"/>
        </w:rPr>
      </w:pPr>
      <w:r w:rsidRPr="00991052">
        <w:rPr>
          <w:rFonts w:ascii="Book Antiqua" w:hAnsi="Book Antiqua"/>
          <w:b/>
          <w:bCs/>
          <w:smallCaps/>
          <w:spacing w:val="5"/>
          <w:sz w:val="20"/>
          <w:szCs w:val="20"/>
        </w:rPr>
        <w:t>[Datos generales del proceso]</w:t>
      </w:r>
    </w:p>
    <w:p w14:paraId="2DA8B618" w14:textId="42AEB4B9" w:rsidR="00591A74" w:rsidRPr="00991052" w:rsidRDefault="00591A74" w:rsidP="00591A74">
      <w:pPr>
        <w:tabs>
          <w:tab w:val="left" w:pos="1418"/>
        </w:tabs>
        <w:contextualSpacing/>
        <w:jc w:val="both"/>
        <w:rPr>
          <w:rFonts w:ascii="Book Antiqua" w:eastAsia="Calibri" w:hAnsi="Book Antiqua"/>
          <w:color w:val="000000"/>
          <w:sz w:val="20"/>
          <w:szCs w:val="20"/>
          <w:lang w:val="es-PE"/>
        </w:rPr>
      </w:pPr>
      <w:r w:rsidRPr="00991052">
        <w:rPr>
          <w:rFonts w:ascii="Book Antiqua" w:hAnsi="Book Antiqua"/>
          <w:b/>
          <w:bCs/>
          <w:smallCaps/>
          <w:spacing w:val="5"/>
          <w:sz w:val="20"/>
          <w:szCs w:val="20"/>
        </w:rPr>
        <w:t>Recurso</w:t>
      </w:r>
      <w:r w:rsidRPr="00991052">
        <w:rPr>
          <w:rFonts w:ascii="Book Antiqua" w:hAnsi="Book Antiqua"/>
          <w:smallCaps/>
          <w:spacing w:val="5"/>
          <w:sz w:val="20"/>
          <w:szCs w:val="20"/>
        </w:rPr>
        <w:tab/>
        <w:t xml:space="preserve">: </w:t>
      </w:r>
      <w:r w:rsidR="00FF7E94" w:rsidRPr="00991052">
        <w:rPr>
          <w:rFonts w:ascii="Book Antiqua" w:hAnsi="Book Antiqua"/>
          <w:smallCaps/>
          <w:spacing w:val="5"/>
          <w:sz w:val="20"/>
          <w:szCs w:val="20"/>
        </w:rPr>
        <w:tab/>
      </w:r>
      <w:r w:rsidR="0086623A" w:rsidRPr="00991052">
        <w:rPr>
          <w:rFonts w:ascii="Book Antiqua" w:eastAsia="Calibri" w:hAnsi="Book Antiqua"/>
          <w:color w:val="000000"/>
          <w:spacing w:val="5"/>
          <w:sz w:val="20"/>
          <w:szCs w:val="20"/>
          <w:lang w:val="es-PE"/>
        </w:rPr>
        <w:t>Casación</w:t>
      </w:r>
    </w:p>
    <w:p w14:paraId="2DA8B61A" w14:textId="3ED18CED" w:rsidR="00F56128" w:rsidRPr="00B66043" w:rsidRDefault="00591A74" w:rsidP="0086623A">
      <w:pPr>
        <w:tabs>
          <w:tab w:val="left" w:pos="1418"/>
        </w:tabs>
        <w:autoSpaceDE w:val="0"/>
        <w:autoSpaceDN w:val="0"/>
        <w:adjustRightInd w:val="0"/>
        <w:spacing w:after="0"/>
        <w:ind w:left="1425" w:hanging="1425"/>
        <w:jc w:val="both"/>
        <w:rPr>
          <w:rFonts w:ascii="Book Antiqua" w:hAnsi="Book Antiqua"/>
          <w:sz w:val="20"/>
          <w:szCs w:val="20"/>
        </w:rPr>
      </w:pPr>
      <w:r w:rsidRPr="00B66043">
        <w:rPr>
          <w:rFonts w:ascii="Book Antiqua" w:hAnsi="Book Antiqua"/>
          <w:b/>
          <w:bCs/>
          <w:smallCaps/>
          <w:spacing w:val="5"/>
          <w:sz w:val="20"/>
          <w:szCs w:val="20"/>
        </w:rPr>
        <w:t>Recurrente</w:t>
      </w:r>
      <w:r w:rsidRPr="00B66043">
        <w:rPr>
          <w:rFonts w:ascii="Book Antiqua" w:hAnsi="Book Antiqua"/>
          <w:smallCaps/>
          <w:spacing w:val="5"/>
          <w:sz w:val="20"/>
          <w:szCs w:val="20"/>
        </w:rPr>
        <w:tab/>
        <w:t>:</w:t>
      </w:r>
      <w:r w:rsidR="00F56128" w:rsidRPr="00B66043">
        <w:rPr>
          <w:rFonts w:ascii="Book Antiqua" w:hAnsi="Book Antiqua"/>
          <w:smallCaps/>
          <w:spacing w:val="5"/>
          <w:sz w:val="20"/>
          <w:szCs w:val="20"/>
        </w:rPr>
        <w:tab/>
      </w:r>
      <w:r w:rsidR="00B66043" w:rsidRPr="00B66043">
        <w:rPr>
          <w:rFonts w:ascii="Book Antiqua" w:hAnsi="Book Antiqua"/>
          <w:sz w:val="20"/>
          <w:szCs w:val="20"/>
        </w:rPr>
        <w:t>Cesar Acuña Peralta</w:t>
      </w:r>
    </w:p>
    <w:p w14:paraId="5CC63E8A" w14:textId="3C616FA8" w:rsidR="00785E11" w:rsidRDefault="00591A74" w:rsidP="00785E11">
      <w:pPr>
        <w:tabs>
          <w:tab w:val="left" w:pos="1418"/>
        </w:tabs>
        <w:autoSpaceDE w:val="0"/>
        <w:autoSpaceDN w:val="0"/>
        <w:adjustRightInd w:val="0"/>
        <w:spacing w:after="0"/>
        <w:ind w:left="1425" w:hanging="1425"/>
        <w:jc w:val="both"/>
        <w:rPr>
          <w:rFonts w:ascii="Book Antiqua" w:hAnsi="Book Antiqua"/>
          <w:sz w:val="20"/>
          <w:szCs w:val="20"/>
        </w:rPr>
      </w:pPr>
      <w:r w:rsidRPr="00B66043">
        <w:rPr>
          <w:rFonts w:ascii="Book Antiqua" w:hAnsi="Book Antiqua"/>
          <w:b/>
          <w:bCs/>
          <w:smallCaps/>
          <w:spacing w:val="5"/>
          <w:sz w:val="20"/>
          <w:szCs w:val="20"/>
        </w:rPr>
        <w:t>Procesado</w:t>
      </w:r>
      <w:r w:rsidRPr="00B66043">
        <w:rPr>
          <w:rFonts w:ascii="Book Antiqua" w:hAnsi="Book Antiqua"/>
          <w:smallCaps/>
          <w:spacing w:val="5"/>
          <w:sz w:val="20"/>
          <w:szCs w:val="20"/>
        </w:rPr>
        <w:tab/>
        <w:t>:</w:t>
      </w:r>
      <w:r w:rsidR="00F56128" w:rsidRPr="00B66043">
        <w:rPr>
          <w:rFonts w:ascii="Book Antiqua" w:hAnsi="Book Antiqua"/>
          <w:smallCaps/>
          <w:spacing w:val="5"/>
          <w:sz w:val="20"/>
          <w:szCs w:val="20"/>
        </w:rPr>
        <w:tab/>
      </w:r>
      <w:r w:rsidR="00B66043" w:rsidRPr="00B66043">
        <w:rPr>
          <w:rFonts w:ascii="Book Antiqua" w:hAnsi="Book Antiqua"/>
          <w:sz w:val="20"/>
          <w:szCs w:val="20"/>
        </w:rPr>
        <w:t>Cesar Acuña Peralta</w:t>
      </w:r>
    </w:p>
    <w:p w14:paraId="01054B6A" w14:textId="2DA69923" w:rsidR="00305136" w:rsidRPr="00305136" w:rsidRDefault="00305136" w:rsidP="00785E11">
      <w:pPr>
        <w:tabs>
          <w:tab w:val="left" w:pos="1418"/>
        </w:tabs>
        <w:autoSpaceDE w:val="0"/>
        <w:autoSpaceDN w:val="0"/>
        <w:adjustRightInd w:val="0"/>
        <w:spacing w:after="0"/>
        <w:ind w:left="1425" w:hanging="1425"/>
        <w:jc w:val="both"/>
        <w:rPr>
          <w:rFonts w:ascii="Book Antiqua" w:hAnsi="Book Antiqua"/>
          <w:sz w:val="20"/>
          <w:szCs w:val="20"/>
        </w:rPr>
      </w:pPr>
      <w:r>
        <w:rPr>
          <w:rFonts w:ascii="Book Antiqua" w:hAnsi="Book Antiqua"/>
          <w:sz w:val="20"/>
          <w:szCs w:val="20"/>
        </w:rPr>
        <w:tab/>
      </w:r>
      <w:r>
        <w:rPr>
          <w:rFonts w:ascii="Book Antiqua" w:hAnsi="Book Antiqua"/>
          <w:sz w:val="20"/>
          <w:szCs w:val="20"/>
        </w:rPr>
        <w:tab/>
      </w:r>
      <w:r>
        <w:rPr>
          <w:rFonts w:ascii="Book Antiqua" w:hAnsi="Book Antiqua"/>
          <w:sz w:val="20"/>
          <w:szCs w:val="20"/>
        </w:rPr>
        <w:tab/>
      </w:r>
      <w:r w:rsidRPr="00305136">
        <w:rPr>
          <w:rFonts w:ascii="Book Antiqua" w:hAnsi="Book Antiqua"/>
          <w:sz w:val="20"/>
          <w:szCs w:val="20"/>
        </w:rPr>
        <w:t>Tania Soledad Baca Romero</w:t>
      </w:r>
    </w:p>
    <w:p w14:paraId="06750402" w14:textId="54D724C4" w:rsidR="0050570C" w:rsidRPr="00991052" w:rsidRDefault="00591A74" w:rsidP="00BB23E5">
      <w:pPr>
        <w:tabs>
          <w:tab w:val="left" w:pos="1418"/>
        </w:tabs>
        <w:autoSpaceDE w:val="0"/>
        <w:autoSpaceDN w:val="0"/>
        <w:adjustRightInd w:val="0"/>
        <w:spacing w:after="0"/>
        <w:jc w:val="both"/>
        <w:rPr>
          <w:rFonts w:ascii="Book Antiqua" w:hAnsi="Book Antiqua"/>
          <w:spacing w:val="5"/>
          <w:sz w:val="20"/>
          <w:szCs w:val="20"/>
          <w:highlight w:val="yellow"/>
        </w:rPr>
      </w:pPr>
      <w:r w:rsidRPr="00991052">
        <w:rPr>
          <w:rFonts w:ascii="Book Antiqua" w:hAnsi="Book Antiqua"/>
          <w:b/>
          <w:bCs/>
          <w:smallCaps/>
          <w:spacing w:val="5"/>
          <w:sz w:val="20"/>
          <w:szCs w:val="20"/>
        </w:rPr>
        <w:t>Agraviad</w:t>
      </w:r>
      <w:r w:rsidR="003B46EF" w:rsidRPr="00991052">
        <w:rPr>
          <w:rFonts w:ascii="Book Antiqua" w:hAnsi="Book Antiqua"/>
          <w:b/>
          <w:bCs/>
          <w:smallCaps/>
          <w:spacing w:val="5"/>
          <w:sz w:val="20"/>
          <w:szCs w:val="20"/>
        </w:rPr>
        <w:t>o</w:t>
      </w:r>
      <w:r w:rsidRPr="00991052">
        <w:rPr>
          <w:rFonts w:ascii="Book Antiqua" w:hAnsi="Book Antiqua"/>
          <w:smallCaps/>
          <w:spacing w:val="5"/>
          <w:sz w:val="20"/>
          <w:szCs w:val="20"/>
        </w:rPr>
        <w:tab/>
        <w:t>:</w:t>
      </w:r>
      <w:r w:rsidR="00F42F78" w:rsidRPr="00991052">
        <w:rPr>
          <w:rFonts w:ascii="Book Antiqua" w:hAnsi="Book Antiqua"/>
          <w:smallCaps/>
          <w:spacing w:val="5"/>
          <w:sz w:val="20"/>
          <w:szCs w:val="20"/>
        </w:rPr>
        <w:tab/>
      </w:r>
      <w:r w:rsidR="00991052" w:rsidRPr="00991052">
        <w:rPr>
          <w:rFonts w:ascii="Book Antiqua" w:eastAsia="Calibri" w:hAnsi="Book Antiqua"/>
          <w:color w:val="000000"/>
          <w:spacing w:val="5"/>
          <w:sz w:val="20"/>
          <w:szCs w:val="20"/>
          <w:lang w:val="es-PE"/>
        </w:rPr>
        <w:t>Jurado Nacional de Elecciones</w:t>
      </w:r>
    </w:p>
    <w:p w14:paraId="75128ABF" w14:textId="66F5E304" w:rsidR="0054234F" w:rsidRDefault="00591A74" w:rsidP="00591A74">
      <w:pPr>
        <w:tabs>
          <w:tab w:val="left" w:pos="1418"/>
        </w:tabs>
        <w:ind w:left="1560" w:hanging="1560"/>
        <w:contextualSpacing/>
        <w:jc w:val="both"/>
        <w:rPr>
          <w:rFonts w:ascii="Book Antiqua" w:eastAsia="Calibri" w:hAnsi="Book Antiqua"/>
          <w:color w:val="000000"/>
          <w:spacing w:val="5"/>
          <w:sz w:val="20"/>
          <w:szCs w:val="20"/>
          <w:lang w:val="es-PE"/>
        </w:rPr>
      </w:pPr>
      <w:r w:rsidRPr="00991052">
        <w:rPr>
          <w:rFonts w:ascii="Book Antiqua" w:hAnsi="Book Antiqua"/>
          <w:b/>
          <w:bCs/>
          <w:smallCaps/>
          <w:spacing w:val="5"/>
          <w:sz w:val="20"/>
          <w:szCs w:val="20"/>
        </w:rPr>
        <w:t>Delito</w:t>
      </w:r>
      <w:r w:rsidRPr="00991052">
        <w:rPr>
          <w:rFonts w:ascii="Book Antiqua" w:hAnsi="Book Antiqua"/>
          <w:smallCaps/>
          <w:spacing w:val="5"/>
          <w:sz w:val="20"/>
          <w:szCs w:val="20"/>
        </w:rPr>
        <w:tab/>
        <w:t>:</w:t>
      </w:r>
      <w:r w:rsidR="00F42F78" w:rsidRPr="00991052">
        <w:rPr>
          <w:rFonts w:ascii="Book Antiqua" w:hAnsi="Book Antiqua"/>
          <w:smallCaps/>
          <w:spacing w:val="5"/>
          <w:sz w:val="20"/>
          <w:szCs w:val="20"/>
        </w:rPr>
        <w:tab/>
      </w:r>
      <w:r w:rsidR="00F42F78" w:rsidRPr="00991052">
        <w:rPr>
          <w:rFonts w:ascii="Book Antiqua" w:hAnsi="Book Antiqua"/>
          <w:smallCaps/>
          <w:spacing w:val="5"/>
          <w:sz w:val="20"/>
          <w:szCs w:val="20"/>
        </w:rPr>
        <w:tab/>
      </w:r>
      <w:r w:rsidR="008E5C8C" w:rsidRPr="00991052">
        <w:rPr>
          <w:rFonts w:ascii="Book Antiqua" w:eastAsia="Calibri" w:hAnsi="Book Antiqua"/>
          <w:color w:val="000000"/>
          <w:spacing w:val="5"/>
          <w:sz w:val="20"/>
          <w:szCs w:val="20"/>
          <w:lang w:val="es-PE"/>
        </w:rPr>
        <w:t xml:space="preserve">Delito </w:t>
      </w:r>
      <w:r w:rsidR="008E5C8C">
        <w:rPr>
          <w:rFonts w:ascii="Book Antiqua" w:eastAsia="Calibri" w:hAnsi="Book Antiqua"/>
          <w:color w:val="000000"/>
          <w:spacing w:val="5"/>
          <w:sz w:val="20"/>
          <w:szCs w:val="20"/>
          <w:lang w:val="es-PE"/>
        </w:rPr>
        <w:t xml:space="preserve">contra la Fe Pública en la modalidad </w:t>
      </w:r>
      <w:r w:rsidR="00F66878" w:rsidRPr="00991052">
        <w:rPr>
          <w:rFonts w:ascii="Book Antiqua" w:eastAsia="Calibri" w:hAnsi="Book Antiqua"/>
          <w:color w:val="000000"/>
          <w:spacing w:val="5"/>
          <w:sz w:val="20"/>
          <w:szCs w:val="20"/>
          <w:lang w:val="es-PE"/>
        </w:rPr>
        <w:t xml:space="preserve">de </w:t>
      </w:r>
      <w:r w:rsidR="00991052" w:rsidRPr="00991052">
        <w:rPr>
          <w:rFonts w:ascii="Book Antiqua" w:eastAsia="Calibri" w:hAnsi="Book Antiqua"/>
          <w:color w:val="000000"/>
          <w:spacing w:val="5"/>
          <w:sz w:val="20"/>
          <w:szCs w:val="20"/>
          <w:lang w:val="es-PE"/>
        </w:rPr>
        <w:t>Falsedad Genérica</w:t>
      </w:r>
    </w:p>
    <w:p w14:paraId="1D6A19A0" w14:textId="5CAA640B" w:rsidR="008E5C8C" w:rsidRPr="00991052" w:rsidRDefault="008E5C8C" w:rsidP="004E2124">
      <w:pPr>
        <w:tabs>
          <w:tab w:val="left" w:pos="1418"/>
        </w:tabs>
        <w:ind w:left="2124" w:hanging="1560"/>
        <w:contextualSpacing/>
        <w:jc w:val="both"/>
        <w:rPr>
          <w:rFonts w:ascii="Book Antiqua" w:eastAsia="Calibri" w:hAnsi="Book Antiqua"/>
          <w:color w:val="000000"/>
          <w:spacing w:val="5"/>
          <w:sz w:val="20"/>
          <w:szCs w:val="20"/>
          <w:lang w:val="es-PE"/>
        </w:rPr>
      </w:pPr>
      <w:r>
        <w:rPr>
          <w:rFonts w:ascii="Book Antiqua" w:eastAsia="Calibri" w:hAnsi="Book Antiqua"/>
          <w:color w:val="000000"/>
          <w:spacing w:val="5"/>
          <w:sz w:val="20"/>
          <w:szCs w:val="20"/>
          <w:lang w:val="es-PE"/>
        </w:rPr>
        <w:tab/>
      </w:r>
      <w:r>
        <w:rPr>
          <w:rFonts w:ascii="Book Antiqua" w:eastAsia="Calibri" w:hAnsi="Book Antiqua"/>
          <w:color w:val="000000"/>
          <w:spacing w:val="5"/>
          <w:sz w:val="20"/>
          <w:szCs w:val="20"/>
          <w:lang w:val="es-PE"/>
        </w:rPr>
        <w:tab/>
      </w:r>
      <w:r w:rsidRPr="008E5C8C">
        <w:rPr>
          <w:rFonts w:ascii="Book Antiqua" w:eastAsia="Calibri" w:hAnsi="Book Antiqua"/>
          <w:color w:val="000000"/>
          <w:spacing w:val="5"/>
          <w:sz w:val="20"/>
          <w:szCs w:val="20"/>
          <w:lang w:val="es-PE"/>
        </w:rPr>
        <w:t xml:space="preserve">Delito contra el </w:t>
      </w:r>
      <w:r>
        <w:rPr>
          <w:rFonts w:ascii="Book Antiqua" w:eastAsia="Calibri" w:hAnsi="Book Antiqua"/>
          <w:color w:val="000000"/>
          <w:spacing w:val="5"/>
          <w:sz w:val="20"/>
          <w:szCs w:val="20"/>
          <w:lang w:val="es-PE"/>
        </w:rPr>
        <w:t>D</w:t>
      </w:r>
      <w:r w:rsidRPr="008E5C8C">
        <w:rPr>
          <w:rFonts w:ascii="Book Antiqua" w:eastAsia="Calibri" w:hAnsi="Book Antiqua"/>
          <w:color w:val="000000"/>
          <w:spacing w:val="5"/>
          <w:sz w:val="20"/>
          <w:szCs w:val="20"/>
          <w:lang w:val="es-PE"/>
        </w:rPr>
        <w:t xml:space="preserve">erecho de </w:t>
      </w:r>
      <w:r>
        <w:rPr>
          <w:rFonts w:ascii="Book Antiqua" w:eastAsia="Calibri" w:hAnsi="Book Antiqua"/>
          <w:color w:val="000000"/>
          <w:spacing w:val="5"/>
          <w:sz w:val="20"/>
          <w:szCs w:val="20"/>
          <w:lang w:val="es-PE"/>
        </w:rPr>
        <w:t>S</w:t>
      </w:r>
      <w:r w:rsidRPr="008E5C8C">
        <w:rPr>
          <w:rFonts w:ascii="Book Antiqua" w:eastAsia="Calibri" w:hAnsi="Book Antiqua"/>
          <w:color w:val="000000"/>
          <w:spacing w:val="5"/>
          <w:sz w:val="20"/>
          <w:szCs w:val="20"/>
          <w:lang w:val="es-PE"/>
        </w:rPr>
        <w:t xml:space="preserve">ufragio en la modalidad de </w:t>
      </w:r>
      <w:r>
        <w:rPr>
          <w:rFonts w:ascii="Book Antiqua" w:eastAsia="Calibri" w:hAnsi="Book Antiqua"/>
          <w:color w:val="000000"/>
          <w:spacing w:val="5"/>
          <w:sz w:val="20"/>
          <w:szCs w:val="20"/>
          <w:lang w:val="es-PE"/>
        </w:rPr>
        <w:t>I</w:t>
      </w:r>
      <w:r w:rsidRPr="008E5C8C">
        <w:rPr>
          <w:rFonts w:ascii="Book Antiqua" w:eastAsia="Calibri" w:hAnsi="Book Antiqua"/>
          <w:color w:val="000000"/>
          <w:spacing w:val="5"/>
          <w:sz w:val="20"/>
          <w:szCs w:val="20"/>
          <w:lang w:val="es-PE"/>
        </w:rPr>
        <w:t xml:space="preserve">nducción al </w:t>
      </w:r>
      <w:r>
        <w:rPr>
          <w:rFonts w:ascii="Book Antiqua" w:eastAsia="Calibri" w:hAnsi="Book Antiqua"/>
          <w:color w:val="000000"/>
          <w:spacing w:val="5"/>
          <w:sz w:val="20"/>
          <w:szCs w:val="20"/>
          <w:lang w:val="es-PE"/>
        </w:rPr>
        <w:t>V</w:t>
      </w:r>
      <w:r w:rsidRPr="008E5C8C">
        <w:rPr>
          <w:rFonts w:ascii="Book Antiqua" w:eastAsia="Calibri" w:hAnsi="Book Antiqua"/>
          <w:color w:val="000000"/>
          <w:spacing w:val="5"/>
          <w:sz w:val="20"/>
          <w:szCs w:val="20"/>
          <w:lang w:val="es-PE"/>
        </w:rPr>
        <w:t>oto</w:t>
      </w:r>
    </w:p>
    <w:p w14:paraId="34C573BA" w14:textId="0A313800" w:rsidR="00C049D4" w:rsidRPr="00991052" w:rsidRDefault="00C049D4" w:rsidP="00591A74">
      <w:pPr>
        <w:tabs>
          <w:tab w:val="left" w:pos="1418"/>
        </w:tabs>
        <w:ind w:left="1560" w:hanging="1560"/>
        <w:contextualSpacing/>
        <w:jc w:val="both"/>
        <w:rPr>
          <w:rFonts w:ascii="Book Antiqua" w:eastAsia="Calibri" w:hAnsi="Book Antiqua"/>
          <w:color w:val="000000"/>
          <w:sz w:val="20"/>
          <w:szCs w:val="20"/>
          <w:highlight w:val="yellow"/>
          <w:lang w:val="es-PE"/>
        </w:rPr>
      </w:pPr>
    </w:p>
    <w:p w14:paraId="2DA8B620" w14:textId="77777777" w:rsidR="00EE2AF8" w:rsidRPr="004E2124" w:rsidRDefault="00591A74" w:rsidP="00591A74">
      <w:pPr>
        <w:tabs>
          <w:tab w:val="left" w:pos="1418"/>
        </w:tabs>
        <w:autoSpaceDE w:val="0"/>
        <w:autoSpaceDN w:val="0"/>
        <w:adjustRightInd w:val="0"/>
        <w:spacing w:after="0"/>
        <w:ind w:left="1418" w:hanging="1418"/>
        <w:jc w:val="both"/>
        <w:rPr>
          <w:rFonts w:ascii="Book Antiqua" w:hAnsi="Book Antiqua"/>
          <w:b/>
          <w:bCs/>
          <w:smallCaps/>
          <w:spacing w:val="5"/>
          <w:sz w:val="20"/>
          <w:szCs w:val="20"/>
        </w:rPr>
      </w:pPr>
      <w:r w:rsidRPr="004E2124">
        <w:rPr>
          <w:rFonts w:ascii="Book Antiqua" w:hAnsi="Book Antiqua"/>
          <w:b/>
          <w:bCs/>
          <w:smallCaps/>
          <w:spacing w:val="5"/>
          <w:sz w:val="20"/>
          <w:szCs w:val="20"/>
        </w:rPr>
        <w:t>Decisión</w:t>
      </w:r>
      <w:r w:rsidRPr="004E2124">
        <w:rPr>
          <w:rFonts w:ascii="Book Antiqua" w:hAnsi="Book Antiqua"/>
          <w:b/>
          <w:bCs/>
          <w:smallCaps/>
          <w:spacing w:val="5"/>
          <w:sz w:val="20"/>
          <w:szCs w:val="20"/>
        </w:rPr>
        <w:tab/>
        <w:t xml:space="preserve">: </w:t>
      </w:r>
    </w:p>
    <w:p w14:paraId="566B6BB5" w14:textId="18E6F06C" w:rsidR="003D04C5" w:rsidRPr="00B66043" w:rsidRDefault="00B66043" w:rsidP="00B66043">
      <w:pPr>
        <w:pStyle w:val="Sinespaciado"/>
        <w:ind w:left="1416"/>
        <w:jc w:val="both"/>
        <w:rPr>
          <w:rFonts w:ascii="Book Antiqua" w:hAnsi="Book Antiqua"/>
          <w:sz w:val="20"/>
          <w:szCs w:val="20"/>
        </w:rPr>
      </w:pPr>
      <w:r w:rsidRPr="00B66043">
        <w:rPr>
          <w:rFonts w:ascii="Book Antiqua" w:hAnsi="Book Antiqua"/>
          <w:b/>
          <w:bCs/>
          <w:sz w:val="20"/>
          <w:szCs w:val="20"/>
        </w:rPr>
        <w:t>INFUNDADO</w:t>
      </w:r>
      <w:r w:rsidRPr="00B66043">
        <w:rPr>
          <w:rFonts w:ascii="Book Antiqua" w:hAnsi="Book Antiqua"/>
          <w:sz w:val="20"/>
          <w:szCs w:val="20"/>
        </w:rPr>
        <w:t xml:space="preserve"> el recurso de casación excepcional interpuesto por la defensa técnica del acusado Cesar Acuña Peralta sobre errónea interpretación de la ley penal o de otras normas jurídicas necesarias para su aplicación respecto de la naturaleza jurídica de los elementos de convicción y su suficiencia en la acusación fiscal; y, el análisis típico del delito de inducción al voto; en consecuencia, </w:t>
      </w:r>
      <w:r w:rsidRPr="00B66043">
        <w:rPr>
          <w:rFonts w:ascii="Book Antiqua" w:hAnsi="Book Antiqua"/>
          <w:b/>
          <w:bCs/>
          <w:sz w:val="20"/>
          <w:szCs w:val="20"/>
        </w:rPr>
        <w:t>NO CASARON</w:t>
      </w:r>
      <w:r w:rsidRPr="00B66043">
        <w:rPr>
          <w:rFonts w:ascii="Book Antiqua" w:hAnsi="Book Antiqua"/>
          <w:sz w:val="20"/>
          <w:szCs w:val="20"/>
        </w:rPr>
        <w:t xml:space="preserve"> la resolución de vista número veintiséis del veinte de abril del dos mil dieciséis - fojas cuatrocientos treinta  y ocho — que:  i) Revocó la resolución </w:t>
      </w:r>
      <w:proofErr w:type="spellStart"/>
      <w:r w:rsidRPr="00B66043">
        <w:rPr>
          <w:rFonts w:ascii="Book Antiqua" w:hAnsi="Book Antiqua"/>
          <w:sz w:val="20"/>
          <w:szCs w:val="20"/>
        </w:rPr>
        <w:t>N</w:t>
      </w:r>
      <w:r w:rsidR="004E2124">
        <w:rPr>
          <w:rFonts w:ascii="Book Antiqua" w:hAnsi="Book Antiqua"/>
          <w:sz w:val="20"/>
          <w:szCs w:val="20"/>
        </w:rPr>
        <w:t>°</w:t>
      </w:r>
      <w:proofErr w:type="spellEnd"/>
      <w:r w:rsidR="004E2124">
        <w:rPr>
          <w:rFonts w:ascii="Book Antiqua" w:hAnsi="Book Antiqua"/>
          <w:sz w:val="20"/>
          <w:szCs w:val="20"/>
        </w:rPr>
        <w:t xml:space="preserve"> </w:t>
      </w:r>
      <w:r w:rsidRPr="00B66043">
        <w:rPr>
          <w:rFonts w:ascii="Book Antiqua" w:hAnsi="Book Antiqua"/>
          <w:sz w:val="20"/>
          <w:szCs w:val="20"/>
        </w:rPr>
        <w:t xml:space="preserve">17, de fecha diecisiete de setiembre del año dos mil quince, en el extremo que declara  fundado  el  sobreseimiento planteado por la defensa del acusado  Cesar  Acuña peralta, en relación al delito de Falsedad Genérica, en agravio del Jurado Nacional de Elecciones, reformándolo declararon infundado el sobreseimiento y dispusieron la continuación del proceso según el estado en que se encuentre; </w:t>
      </w:r>
      <w:proofErr w:type="spellStart"/>
      <w:r w:rsidRPr="00B66043">
        <w:rPr>
          <w:rFonts w:ascii="Book Antiqua" w:hAnsi="Book Antiqua"/>
          <w:sz w:val="20"/>
          <w:szCs w:val="20"/>
        </w:rPr>
        <w:t>ii</w:t>
      </w:r>
      <w:proofErr w:type="spellEnd"/>
      <w:r w:rsidRPr="00B66043">
        <w:rPr>
          <w:rFonts w:ascii="Book Antiqua" w:hAnsi="Book Antiqua"/>
          <w:sz w:val="20"/>
          <w:szCs w:val="20"/>
        </w:rPr>
        <w:t xml:space="preserve">) Confirmaron la referida resolución en el extremo que declara improcedente el Ne Bis </w:t>
      </w:r>
      <w:r w:rsidR="004E2124">
        <w:rPr>
          <w:rFonts w:ascii="Book Antiqua" w:hAnsi="Book Antiqua"/>
          <w:sz w:val="20"/>
          <w:szCs w:val="20"/>
        </w:rPr>
        <w:t>I</w:t>
      </w:r>
      <w:r w:rsidRPr="00B66043">
        <w:rPr>
          <w:rFonts w:ascii="Book Antiqua" w:hAnsi="Book Antiqua"/>
          <w:sz w:val="20"/>
          <w:szCs w:val="20"/>
        </w:rPr>
        <w:t xml:space="preserve">n </w:t>
      </w:r>
      <w:proofErr w:type="spellStart"/>
      <w:r w:rsidR="004E2124">
        <w:rPr>
          <w:rFonts w:ascii="Book Antiqua" w:hAnsi="Book Antiqua"/>
          <w:sz w:val="20"/>
          <w:szCs w:val="20"/>
        </w:rPr>
        <w:t>I</w:t>
      </w:r>
      <w:r w:rsidRPr="00B66043">
        <w:rPr>
          <w:rFonts w:ascii="Book Antiqua" w:hAnsi="Book Antiqua"/>
          <w:sz w:val="20"/>
          <w:szCs w:val="20"/>
        </w:rPr>
        <w:t>de</w:t>
      </w:r>
      <w:r w:rsidR="004E2124">
        <w:rPr>
          <w:rFonts w:ascii="Book Antiqua" w:hAnsi="Book Antiqua"/>
          <w:sz w:val="20"/>
          <w:szCs w:val="20"/>
        </w:rPr>
        <w:t>m</w:t>
      </w:r>
      <w:proofErr w:type="spellEnd"/>
      <w:r w:rsidRPr="00B66043">
        <w:rPr>
          <w:rFonts w:ascii="Book Antiqua" w:hAnsi="Book Antiqua"/>
          <w:sz w:val="20"/>
          <w:szCs w:val="20"/>
        </w:rPr>
        <w:t>, Infundada la Excepción de Improcedencia de Acción, Infundado el Sobreseimiento en relación al delito de Inducción al Voto, seguido contra los acusados Cesar Acuña Peralta y Tania Soledad Baca Romero en agravio del Jurado Nacional de Elecciones</w:t>
      </w:r>
      <w:r>
        <w:rPr>
          <w:rFonts w:ascii="Book Antiqua" w:hAnsi="Book Antiqua"/>
          <w:sz w:val="20"/>
          <w:szCs w:val="20"/>
        </w:rPr>
        <w:t xml:space="preserve">; </w:t>
      </w:r>
      <w:r w:rsidRPr="00B66043">
        <w:rPr>
          <w:rFonts w:ascii="Book Antiqua" w:hAnsi="Book Antiqua"/>
          <w:b/>
          <w:bCs/>
          <w:sz w:val="20"/>
          <w:szCs w:val="20"/>
        </w:rPr>
        <w:t>IMPUSIERON</w:t>
      </w:r>
      <w:r w:rsidRPr="00B66043">
        <w:rPr>
          <w:rFonts w:ascii="Book Antiqua" w:hAnsi="Book Antiqua"/>
          <w:sz w:val="20"/>
          <w:szCs w:val="20"/>
        </w:rPr>
        <w:t xml:space="preserve"> el pago de las costas por la </w:t>
      </w:r>
      <w:r w:rsidRPr="00B66043">
        <w:rPr>
          <w:rFonts w:ascii="Book Antiqua" w:hAnsi="Book Antiqua"/>
          <w:sz w:val="20"/>
          <w:szCs w:val="20"/>
        </w:rPr>
        <w:lastRenderedPageBreak/>
        <w:t>tramitación del recurso de casación interpuesto por el acusado Cesar Acuña Peralta, las que serán exigidas por el Juez de la Investigación Preparatoria, de conformidad con el artículo 506 del Código Procesal Penal</w:t>
      </w:r>
      <w:r>
        <w:rPr>
          <w:rFonts w:ascii="Book Antiqua" w:hAnsi="Book Antiqua"/>
          <w:sz w:val="20"/>
          <w:szCs w:val="20"/>
        </w:rPr>
        <w:t xml:space="preserve">; </w:t>
      </w:r>
      <w:r w:rsidRPr="004E2124">
        <w:rPr>
          <w:rFonts w:ascii="Book Antiqua" w:hAnsi="Book Antiqua"/>
          <w:b/>
          <w:bCs/>
          <w:sz w:val="20"/>
          <w:szCs w:val="20"/>
        </w:rPr>
        <w:t xml:space="preserve">ESTABLECIERON </w:t>
      </w:r>
      <w:r w:rsidRPr="00B66043">
        <w:rPr>
          <w:rFonts w:ascii="Book Antiqua" w:hAnsi="Book Antiqua"/>
          <w:sz w:val="20"/>
          <w:szCs w:val="20"/>
        </w:rPr>
        <w:t xml:space="preserve">como doctrina jurisprudencial el fundamento jurídico de la presente sentencia </w:t>
      </w:r>
      <w:proofErr w:type="spellStart"/>
      <w:r w:rsidRPr="00B66043">
        <w:rPr>
          <w:rFonts w:ascii="Book Antiqua" w:hAnsi="Book Antiqua"/>
          <w:sz w:val="20"/>
          <w:szCs w:val="20"/>
        </w:rPr>
        <w:t>casatoria</w:t>
      </w:r>
      <w:proofErr w:type="spellEnd"/>
      <w:r w:rsidRPr="00B66043">
        <w:rPr>
          <w:rFonts w:ascii="Book Antiqua" w:hAnsi="Book Antiqua"/>
          <w:sz w:val="20"/>
          <w:szCs w:val="20"/>
        </w:rPr>
        <w:t>, del décimo quinto al trigésimo quinto fundamento relacionados con naturaleza jurídica de los elementos convicción y su suficiencia en la acusación fiscal; y, el análisis típico del delito de inducción al voto.</w:t>
      </w:r>
    </w:p>
    <w:p w14:paraId="06C8C93E" w14:textId="77777777" w:rsidR="003D04C5" w:rsidRPr="00991052" w:rsidRDefault="003D04C5" w:rsidP="00591A74">
      <w:pPr>
        <w:spacing w:after="0"/>
        <w:jc w:val="both"/>
        <w:rPr>
          <w:rFonts w:ascii="Book Antiqua" w:hAnsi="Book Antiqua"/>
          <w:smallCaps/>
          <w:color w:val="4472C4"/>
          <w:spacing w:val="5"/>
          <w:sz w:val="20"/>
          <w:szCs w:val="20"/>
          <w:highlight w:val="yellow"/>
        </w:rPr>
      </w:pPr>
    </w:p>
    <w:p w14:paraId="2DA8B623" w14:textId="77777777" w:rsidR="00591A74" w:rsidRPr="00991052" w:rsidRDefault="00591A74" w:rsidP="00591A74">
      <w:pPr>
        <w:jc w:val="both"/>
        <w:rPr>
          <w:rFonts w:ascii="Book Antiqua" w:hAnsi="Book Antiqua"/>
          <w:b/>
          <w:bCs/>
          <w:smallCaps/>
          <w:spacing w:val="5"/>
          <w:sz w:val="20"/>
          <w:szCs w:val="20"/>
          <w:highlight w:val="yellow"/>
        </w:rPr>
      </w:pPr>
      <w:r w:rsidRPr="00991052">
        <w:rPr>
          <w:rFonts w:ascii="Book Antiqua" w:hAnsi="Book Antiqua"/>
          <w:b/>
          <w:bCs/>
          <w:smallCaps/>
          <w:spacing w:val="5"/>
          <w:sz w:val="20"/>
          <w:szCs w:val="20"/>
          <w:highlight w:val="yellow"/>
        </w:rPr>
        <w:t>[Descripción del caso]</w:t>
      </w:r>
    </w:p>
    <w:p w14:paraId="2DA8B626" w14:textId="649A3CBA" w:rsidR="00FF7E94" w:rsidRPr="00991052" w:rsidRDefault="00F36E0E" w:rsidP="00D67C59">
      <w:pPr>
        <w:autoSpaceDE w:val="0"/>
        <w:autoSpaceDN w:val="0"/>
        <w:adjustRightInd w:val="0"/>
        <w:spacing w:after="0" w:line="240" w:lineRule="auto"/>
        <w:jc w:val="both"/>
        <w:rPr>
          <w:rFonts w:ascii="Book Antiqua" w:eastAsia="Calibri" w:hAnsi="Book Antiqua"/>
          <w:sz w:val="20"/>
          <w:szCs w:val="20"/>
          <w:highlight w:val="yellow"/>
          <w:lang w:val="es-PE"/>
        </w:rPr>
      </w:pPr>
      <w:r w:rsidRPr="00991052">
        <w:rPr>
          <w:rFonts w:ascii="Book Antiqua" w:hAnsi="Book Antiqua"/>
          <w:sz w:val="20"/>
          <w:szCs w:val="20"/>
          <w:highlight w:val="yellow"/>
        </w:rPr>
        <w:t>Los impugnantes tienen como objetivo declarar nula la sentencia impugnada.</w:t>
      </w:r>
    </w:p>
    <w:p w14:paraId="2DA8B627" w14:textId="54778476" w:rsidR="00FF7E94" w:rsidRPr="00991052" w:rsidRDefault="00FF7E94" w:rsidP="00591A74">
      <w:pPr>
        <w:autoSpaceDE w:val="0"/>
        <w:autoSpaceDN w:val="0"/>
        <w:adjustRightInd w:val="0"/>
        <w:spacing w:after="0" w:line="240" w:lineRule="auto"/>
        <w:jc w:val="both"/>
        <w:rPr>
          <w:rFonts w:ascii="Book Antiqua" w:eastAsia="Calibri" w:hAnsi="Book Antiqua"/>
          <w:sz w:val="20"/>
          <w:szCs w:val="20"/>
          <w:highlight w:val="yellow"/>
        </w:rPr>
      </w:pPr>
    </w:p>
    <w:p w14:paraId="082172D2" w14:textId="62C8C17F" w:rsidR="00487045" w:rsidRPr="00991052" w:rsidRDefault="00487045" w:rsidP="00591A74">
      <w:pPr>
        <w:autoSpaceDE w:val="0"/>
        <w:autoSpaceDN w:val="0"/>
        <w:adjustRightInd w:val="0"/>
        <w:spacing w:after="0" w:line="240" w:lineRule="auto"/>
        <w:jc w:val="both"/>
        <w:rPr>
          <w:rFonts w:ascii="Book Antiqua" w:eastAsia="Calibri" w:hAnsi="Book Antiqua"/>
          <w:b/>
          <w:bCs/>
          <w:sz w:val="20"/>
          <w:szCs w:val="20"/>
          <w:highlight w:val="yellow"/>
        </w:rPr>
      </w:pPr>
      <w:r w:rsidRPr="00991052">
        <w:rPr>
          <w:rFonts w:ascii="Book Antiqua" w:eastAsia="Calibri" w:hAnsi="Book Antiqua"/>
          <w:b/>
          <w:bCs/>
          <w:sz w:val="20"/>
          <w:szCs w:val="20"/>
          <w:highlight w:val="yellow"/>
        </w:rPr>
        <w:t>HECHOS IMPUTADOS</w:t>
      </w:r>
    </w:p>
    <w:p w14:paraId="4AB412AE" w14:textId="34CCC3A3" w:rsidR="00A2096A" w:rsidRPr="00991052" w:rsidRDefault="00AE6804" w:rsidP="00A2096A">
      <w:pPr>
        <w:pStyle w:val="Prrafodelista"/>
        <w:numPr>
          <w:ilvl w:val="0"/>
          <w:numId w:val="40"/>
        </w:numPr>
        <w:autoSpaceDE w:val="0"/>
        <w:autoSpaceDN w:val="0"/>
        <w:adjustRightInd w:val="0"/>
        <w:spacing w:after="0" w:line="240" w:lineRule="auto"/>
        <w:jc w:val="both"/>
        <w:rPr>
          <w:rFonts w:ascii="Book Antiqua" w:eastAsia="Calibri" w:hAnsi="Book Antiqua"/>
          <w:sz w:val="20"/>
          <w:szCs w:val="20"/>
          <w:highlight w:val="yellow"/>
        </w:rPr>
      </w:pPr>
      <w:r w:rsidRPr="00991052">
        <w:rPr>
          <w:rFonts w:ascii="Book Antiqua" w:eastAsia="Calibri" w:hAnsi="Book Antiqua"/>
          <w:sz w:val="20"/>
          <w:szCs w:val="20"/>
          <w:highlight w:val="yellow"/>
        </w:rPr>
        <w:t>El 19 de abril de 2016, s</w:t>
      </w:r>
      <w:r w:rsidR="00A2096A" w:rsidRPr="00991052">
        <w:rPr>
          <w:rFonts w:ascii="Book Antiqua" w:eastAsia="Calibri" w:hAnsi="Book Antiqua"/>
          <w:sz w:val="20"/>
          <w:szCs w:val="20"/>
          <w:highlight w:val="yellow"/>
        </w:rPr>
        <w:t xml:space="preserve">e emite formalización de investigación preparatoria en contra de </w:t>
      </w:r>
      <w:r w:rsidR="00A2096A" w:rsidRPr="00991052">
        <w:rPr>
          <w:rFonts w:ascii="Book Antiqua" w:hAnsi="Book Antiqua"/>
          <w:sz w:val="20"/>
          <w:szCs w:val="20"/>
          <w:highlight w:val="yellow"/>
        </w:rPr>
        <w:t xml:space="preserve">Jader </w:t>
      </w:r>
      <w:proofErr w:type="spellStart"/>
      <w:r w:rsidR="00A2096A" w:rsidRPr="00991052">
        <w:rPr>
          <w:rFonts w:ascii="Book Antiqua" w:hAnsi="Book Antiqua"/>
          <w:sz w:val="20"/>
          <w:szCs w:val="20"/>
          <w:highlight w:val="yellow"/>
        </w:rPr>
        <w:t>Harb</w:t>
      </w:r>
      <w:proofErr w:type="spellEnd"/>
      <w:r w:rsidR="00A2096A" w:rsidRPr="00991052">
        <w:rPr>
          <w:rFonts w:ascii="Book Antiqua" w:hAnsi="Book Antiqua"/>
          <w:sz w:val="20"/>
          <w:szCs w:val="20"/>
          <w:highlight w:val="yellow"/>
        </w:rPr>
        <w:t xml:space="preserve"> </w:t>
      </w:r>
      <w:proofErr w:type="spellStart"/>
      <w:r w:rsidR="00A2096A" w:rsidRPr="00991052">
        <w:rPr>
          <w:rFonts w:ascii="Book Antiqua" w:hAnsi="Book Antiqua"/>
          <w:sz w:val="20"/>
          <w:szCs w:val="20"/>
          <w:highlight w:val="yellow"/>
        </w:rPr>
        <w:t>Rizqallah</w:t>
      </w:r>
      <w:proofErr w:type="spellEnd"/>
      <w:r w:rsidR="00A2096A" w:rsidRPr="00991052">
        <w:rPr>
          <w:rFonts w:ascii="Book Antiqua" w:hAnsi="Book Antiqua"/>
          <w:sz w:val="20"/>
          <w:szCs w:val="20"/>
          <w:highlight w:val="yellow"/>
        </w:rPr>
        <w:t xml:space="preserve"> </w:t>
      </w:r>
      <w:proofErr w:type="spellStart"/>
      <w:r w:rsidR="00A2096A" w:rsidRPr="00991052">
        <w:rPr>
          <w:rFonts w:ascii="Book Antiqua" w:hAnsi="Book Antiqua"/>
          <w:sz w:val="20"/>
          <w:szCs w:val="20"/>
          <w:highlight w:val="yellow"/>
        </w:rPr>
        <w:t>Garib</w:t>
      </w:r>
      <w:proofErr w:type="spellEnd"/>
      <w:r w:rsidRPr="00991052">
        <w:rPr>
          <w:rFonts w:ascii="Book Antiqua" w:hAnsi="Book Antiqua"/>
          <w:sz w:val="20"/>
          <w:szCs w:val="20"/>
          <w:highlight w:val="yellow"/>
        </w:rPr>
        <w:t>:</w:t>
      </w:r>
    </w:p>
    <w:p w14:paraId="2E7A0EFF" w14:textId="4943B7D8" w:rsidR="00AE6804" w:rsidRPr="00991052" w:rsidRDefault="007E2A6C" w:rsidP="00AE6804">
      <w:pPr>
        <w:pStyle w:val="Prrafodelista"/>
        <w:numPr>
          <w:ilvl w:val="1"/>
          <w:numId w:val="40"/>
        </w:numPr>
        <w:autoSpaceDE w:val="0"/>
        <w:autoSpaceDN w:val="0"/>
        <w:adjustRightInd w:val="0"/>
        <w:spacing w:after="0" w:line="240" w:lineRule="auto"/>
        <w:jc w:val="both"/>
        <w:rPr>
          <w:rFonts w:ascii="Book Antiqua" w:eastAsia="Calibri" w:hAnsi="Book Antiqua"/>
          <w:sz w:val="20"/>
          <w:szCs w:val="20"/>
          <w:highlight w:val="yellow"/>
        </w:rPr>
      </w:pPr>
      <w:r w:rsidRPr="00991052">
        <w:rPr>
          <w:rFonts w:ascii="Book Antiqua" w:hAnsi="Book Antiqua"/>
          <w:sz w:val="20"/>
          <w:szCs w:val="20"/>
          <w:highlight w:val="yellow"/>
        </w:rPr>
        <w:t>Realizó cuatro actos de transferencia bancaria.</w:t>
      </w:r>
    </w:p>
    <w:p w14:paraId="45F0A60C" w14:textId="773CC2A2" w:rsidR="007E2A6C" w:rsidRPr="00991052" w:rsidRDefault="008B5CBB" w:rsidP="00AE6804">
      <w:pPr>
        <w:pStyle w:val="Prrafodelista"/>
        <w:numPr>
          <w:ilvl w:val="1"/>
          <w:numId w:val="40"/>
        </w:numPr>
        <w:autoSpaceDE w:val="0"/>
        <w:autoSpaceDN w:val="0"/>
        <w:adjustRightInd w:val="0"/>
        <w:spacing w:after="0" w:line="240" w:lineRule="auto"/>
        <w:jc w:val="both"/>
        <w:rPr>
          <w:rFonts w:ascii="Book Antiqua" w:eastAsia="Calibri" w:hAnsi="Book Antiqua"/>
          <w:sz w:val="20"/>
          <w:szCs w:val="20"/>
          <w:highlight w:val="yellow"/>
        </w:rPr>
      </w:pPr>
      <w:r w:rsidRPr="00991052">
        <w:rPr>
          <w:rFonts w:ascii="Book Antiqua" w:hAnsi="Book Antiqua"/>
          <w:sz w:val="20"/>
          <w:szCs w:val="20"/>
          <w:highlight w:val="yellow"/>
        </w:rPr>
        <w:t>El dinero podría provenir de actividades vinculadas con el fraude en la administración de personas jurídicas</w:t>
      </w:r>
      <w:r w:rsidR="0081078E" w:rsidRPr="00991052">
        <w:rPr>
          <w:rFonts w:ascii="Book Antiqua" w:hAnsi="Book Antiqua"/>
          <w:sz w:val="20"/>
          <w:szCs w:val="20"/>
          <w:highlight w:val="yellow"/>
        </w:rPr>
        <w:t>.</w:t>
      </w:r>
    </w:p>
    <w:p w14:paraId="78975441" w14:textId="77777777" w:rsidR="00C1225B" w:rsidRPr="00991052" w:rsidRDefault="00C1225B" w:rsidP="00C1225B">
      <w:pPr>
        <w:pStyle w:val="Prrafodelista"/>
        <w:autoSpaceDE w:val="0"/>
        <w:autoSpaceDN w:val="0"/>
        <w:adjustRightInd w:val="0"/>
        <w:spacing w:after="0" w:line="240" w:lineRule="auto"/>
        <w:jc w:val="both"/>
        <w:rPr>
          <w:rFonts w:ascii="Book Antiqua" w:eastAsia="Calibri" w:hAnsi="Book Antiqua"/>
          <w:b/>
          <w:bCs/>
          <w:sz w:val="20"/>
          <w:szCs w:val="20"/>
          <w:highlight w:val="yellow"/>
        </w:rPr>
      </w:pPr>
    </w:p>
    <w:p w14:paraId="0AFB731E" w14:textId="70DA0FA6" w:rsidR="00C1225B" w:rsidRPr="00991052" w:rsidRDefault="00C1225B" w:rsidP="00C1225B">
      <w:pPr>
        <w:pStyle w:val="Prrafodelista"/>
        <w:numPr>
          <w:ilvl w:val="0"/>
          <w:numId w:val="40"/>
        </w:numPr>
        <w:autoSpaceDE w:val="0"/>
        <w:autoSpaceDN w:val="0"/>
        <w:adjustRightInd w:val="0"/>
        <w:spacing w:after="0" w:line="240" w:lineRule="auto"/>
        <w:jc w:val="both"/>
        <w:rPr>
          <w:rFonts w:ascii="Book Antiqua" w:eastAsia="Calibri" w:hAnsi="Book Antiqua"/>
          <w:b/>
          <w:bCs/>
          <w:sz w:val="20"/>
          <w:szCs w:val="20"/>
          <w:highlight w:val="yellow"/>
        </w:rPr>
      </w:pPr>
      <w:r w:rsidRPr="00991052">
        <w:rPr>
          <w:rFonts w:ascii="Book Antiqua" w:eastAsia="Calibri" w:hAnsi="Book Antiqua"/>
          <w:b/>
          <w:bCs/>
          <w:sz w:val="20"/>
          <w:szCs w:val="20"/>
          <w:highlight w:val="yellow"/>
        </w:rPr>
        <w:t>ITINERARIO DEL PROCEDIMIENTO EN PRIMERA INSTANCIA</w:t>
      </w:r>
    </w:p>
    <w:p w14:paraId="5C754F4C" w14:textId="3298C43B" w:rsidR="00637C90" w:rsidRPr="00991052" w:rsidRDefault="00637C90" w:rsidP="00A2096A">
      <w:pPr>
        <w:pStyle w:val="Prrafodelista"/>
        <w:numPr>
          <w:ilvl w:val="0"/>
          <w:numId w:val="40"/>
        </w:numPr>
        <w:autoSpaceDE w:val="0"/>
        <w:autoSpaceDN w:val="0"/>
        <w:adjustRightInd w:val="0"/>
        <w:spacing w:after="0" w:line="240" w:lineRule="auto"/>
        <w:jc w:val="both"/>
        <w:rPr>
          <w:rFonts w:ascii="Book Antiqua" w:eastAsia="Calibri" w:hAnsi="Book Antiqua"/>
          <w:sz w:val="20"/>
          <w:szCs w:val="20"/>
          <w:highlight w:val="yellow"/>
        </w:rPr>
      </w:pPr>
      <w:r w:rsidRPr="00991052">
        <w:rPr>
          <w:rFonts w:ascii="Book Antiqua" w:hAnsi="Book Antiqua"/>
          <w:sz w:val="20"/>
          <w:szCs w:val="20"/>
          <w:highlight w:val="yellow"/>
        </w:rPr>
        <w:t>La defensa técnica del procesado, presenta excepción de improcedencia de acción.</w:t>
      </w:r>
    </w:p>
    <w:p w14:paraId="06991183" w14:textId="16632F62" w:rsidR="00FA2BD2" w:rsidRPr="00991052" w:rsidRDefault="00FA2BD2" w:rsidP="00A2096A">
      <w:pPr>
        <w:pStyle w:val="Prrafodelista"/>
        <w:numPr>
          <w:ilvl w:val="0"/>
          <w:numId w:val="40"/>
        </w:numPr>
        <w:autoSpaceDE w:val="0"/>
        <w:autoSpaceDN w:val="0"/>
        <w:adjustRightInd w:val="0"/>
        <w:spacing w:after="0" w:line="240" w:lineRule="auto"/>
        <w:jc w:val="both"/>
        <w:rPr>
          <w:rFonts w:ascii="Book Antiqua" w:eastAsia="Calibri" w:hAnsi="Book Antiqua"/>
          <w:sz w:val="20"/>
          <w:szCs w:val="20"/>
          <w:highlight w:val="yellow"/>
        </w:rPr>
      </w:pPr>
      <w:r w:rsidRPr="00991052">
        <w:rPr>
          <w:rFonts w:ascii="Book Antiqua" w:hAnsi="Book Antiqua"/>
          <w:sz w:val="20"/>
          <w:szCs w:val="20"/>
          <w:highlight w:val="yellow"/>
        </w:rPr>
        <w:t>El 27 de julio de 2016 el Juez del Primer Juzgado de Investigación Preparatoria de Arequipa</w:t>
      </w:r>
      <w:r w:rsidR="006632AE" w:rsidRPr="00991052">
        <w:rPr>
          <w:rFonts w:ascii="Book Antiqua" w:hAnsi="Book Antiqua"/>
          <w:sz w:val="20"/>
          <w:szCs w:val="20"/>
          <w:highlight w:val="yellow"/>
        </w:rPr>
        <w:t>, declara infundado el pedido.</w:t>
      </w:r>
    </w:p>
    <w:p w14:paraId="761D77CC" w14:textId="6389CBF6" w:rsidR="006632AE" w:rsidRPr="00991052" w:rsidRDefault="006632AE" w:rsidP="006632AE">
      <w:pPr>
        <w:pStyle w:val="Prrafodelista"/>
        <w:autoSpaceDE w:val="0"/>
        <w:autoSpaceDN w:val="0"/>
        <w:adjustRightInd w:val="0"/>
        <w:spacing w:after="0" w:line="240" w:lineRule="auto"/>
        <w:jc w:val="both"/>
        <w:rPr>
          <w:rFonts w:ascii="Book Antiqua" w:hAnsi="Book Antiqua"/>
          <w:sz w:val="20"/>
          <w:szCs w:val="20"/>
          <w:highlight w:val="yellow"/>
        </w:rPr>
      </w:pPr>
    </w:p>
    <w:p w14:paraId="738B45DA" w14:textId="77777777" w:rsidR="006632AE" w:rsidRPr="00991052" w:rsidRDefault="006632AE" w:rsidP="006632AE">
      <w:pPr>
        <w:autoSpaceDE w:val="0"/>
        <w:autoSpaceDN w:val="0"/>
        <w:adjustRightInd w:val="0"/>
        <w:spacing w:after="0" w:line="240" w:lineRule="auto"/>
        <w:jc w:val="both"/>
        <w:rPr>
          <w:rFonts w:ascii="Book Antiqua" w:eastAsia="Calibri" w:hAnsi="Book Antiqua"/>
          <w:b/>
          <w:bCs/>
          <w:sz w:val="20"/>
          <w:szCs w:val="20"/>
          <w:highlight w:val="yellow"/>
        </w:rPr>
      </w:pPr>
      <w:r w:rsidRPr="00991052">
        <w:rPr>
          <w:rFonts w:ascii="Book Antiqua" w:eastAsia="Calibri" w:hAnsi="Book Antiqua"/>
          <w:b/>
          <w:bCs/>
          <w:sz w:val="20"/>
          <w:szCs w:val="20"/>
          <w:highlight w:val="yellow"/>
        </w:rPr>
        <w:t>ITINERARIO DEL PRODECIMIENTO EN SEGUDNA INSTANCIA</w:t>
      </w:r>
    </w:p>
    <w:p w14:paraId="2385F312" w14:textId="6A9EF027" w:rsidR="006632AE" w:rsidRPr="00991052" w:rsidRDefault="006632AE" w:rsidP="00A2096A">
      <w:pPr>
        <w:pStyle w:val="Prrafodelista"/>
        <w:numPr>
          <w:ilvl w:val="0"/>
          <w:numId w:val="40"/>
        </w:numPr>
        <w:autoSpaceDE w:val="0"/>
        <w:autoSpaceDN w:val="0"/>
        <w:adjustRightInd w:val="0"/>
        <w:spacing w:after="0" w:line="240" w:lineRule="auto"/>
        <w:jc w:val="both"/>
        <w:rPr>
          <w:rFonts w:ascii="Book Antiqua" w:eastAsia="Calibri" w:hAnsi="Book Antiqua"/>
          <w:sz w:val="20"/>
          <w:szCs w:val="20"/>
          <w:highlight w:val="yellow"/>
        </w:rPr>
      </w:pPr>
      <w:r w:rsidRPr="00991052">
        <w:rPr>
          <w:rFonts w:ascii="Book Antiqua" w:hAnsi="Book Antiqua"/>
          <w:sz w:val="20"/>
          <w:szCs w:val="20"/>
          <w:highlight w:val="yellow"/>
        </w:rPr>
        <w:t>La defensa técnica del procesado deduce recurso de apelación</w:t>
      </w:r>
      <w:r w:rsidR="000D2CF2" w:rsidRPr="00991052">
        <w:rPr>
          <w:rFonts w:ascii="Book Antiqua" w:hAnsi="Book Antiqua"/>
          <w:sz w:val="20"/>
          <w:szCs w:val="20"/>
          <w:highlight w:val="yellow"/>
        </w:rPr>
        <w:t>.</w:t>
      </w:r>
    </w:p>
    <w:p w14:paraId="30A95700" w14:textId="27994027" w:rsidR="006632AE" w:rsidRPr="00991052" w:rsidRDefault="00593459" w:rsidP="00A2096A">
      <w:pPr>
        <w:pStyle w:val="Prrafodelista"/>
        <w:numPr>
          <w:ilvl w:val="0"/>
          <w:numId w:val="40"/>
        </w:numPr>
        <w:autoSpaceDE w:val="0"/>
        <w:autoSpaceDN w:val="0"/>
        <w:adjustRightInd w:val="0"/>
        <w:spacing w:after="0" w:line="240" w:lineRule="auto"/>
        <w:jc w:val="both"/>
        <w:rPr>
          <w:rFonts w:ascii="Book Antiqua" w:eastAsia="Calibri" w:hAnsi="Book Antiqua"/>
          <w:sz w:val="20"/>
          <w:szCs w:val="20"/>
          <w:highlight w:val="yellow"/>
        </w:rPr>
      </w:pPr>
      <w:r w:rsidRPr="00991052">
        <w:rPr>
          <w:rFonts w:ascii="Book Antiqua" w:eastAsia="Calibri" w:hAnsi="Book Antiqua"/>
          <w:sz w:val="20"/>
          <w:szCs w:val="20"/>
          <w:highlight w:val="yellow"/>
        </w:rPr>
        <w:t>El 07 de noviembre de 2016, la Segunda Sala de Apelaciones de la Corte Superior de Justicia de Arequipa</w:t>
      </w:r>
      <w:r w:rsidR="00E54F73" w:rsidRPr="00991052">
        <w:rPr>
          <w:rFonts w:ascii="Book Antiqua" w:eastAsia="Calibri" w:hAnsi="Book Antiqua"/>
          <w:sz w:val="20"/>
          <w:szCs w:val="20"/>
          <w:highlight w:val="yellow"/>
        </w:rPr>
        <w:t>, confirma la resolución impugnada., sosteniendo:</w:t>
      </w:r>
    </w:p>
    <w:p w14:paraId="3D3EEA71" w14:textId="321FDCB6" w:rsidR="00E54F73" w:rsidRPr="00991052" w:rsidRDefault="00D139C4" w:rsidP="00E54F73">
      <w:pPr>
        <w:pStyle w:val="Prrafodelista"/>
        <w:numPr>
          <w:ilvl w:val="1"/>
          <w:numId w:val="40"/>
        </w:numPr>
        <w:autoSpaceDE w:val="0"/>
        <w:autoSpaceDN w:val="0"/>
        <w:adjustRightInd w:val="0"/>
        <w:spacing w:after="0" w:line="240" w:lineRule="auto"/>
        <w:jc w:val="both"/>
        <w:rPr>
          <w:rFonts w:ascii="Book Antiqua" w:eastAsia="Calibri" w:hAnsi="Book Antiqua"/>
          <w:sz w:val="20"/>
          <w:szCs w:val="20"/>
          <w:highlight w:val="yellow"/>
        </w:rPr>
      </w:pPr>
      <w:r w:rsidRPr="00991052">
        <w:rPr>
          <w:rFonts w:ascii="Book Antiqua" w:eastAsia="Calibri" w:hAnsi="Book Antiqua"/>
          <w:sz w:val="20"/>
          <w:szCs w:val="20"/>
          <w:highlight w:val="yellow"/>
        </w:rPr>
        <w:t>Es el procedimiento el que determinará si estamos ante conducta relevantes para el de</w:t>
      </w:r>
      <w:r w:rsidR="00390D5C" w:rsidRPr="00991052">
        <w:rPr>
          <w:rFonts w:ascii="Book Antiqua" w:eastAsia="Calibri" w:hAnsi="Book Antiqua"/>
          <w:sz w:val="20"/>
          <w:szCs w:val="20"/>
          <w:highlight w:val="yellow"/>
        </w:rPr>
        <w:t>lito de lavado de activos, no basta que se impute meras transferencias bancarias [conducta neutra]</w:t>
      </w:r>
      <w:r w:rsidR="00BD3ED2" w:rsidRPr="00991052">
        <w:rPr>
          <w:rFonts w:ascii="Book Antiqua" w:eastAsia="Calibri" w:hAnsi="Book Antiqua"/>
          <w:sz w:val="20"/>
          <w:szCs w:val="20"/>
          <w:highlight w:val="yellow"/>
        </w:rPr>
        <w:t xml:space="preserve"> para asumir atipicidad</w:t>
      </w:r>
      <w:r w:rsidR="00390D5C" w:rsidRPr="00991052">
        <w:rPr>
          <w:rFonts w:ascii="Book Antiqua" w:eastAsia="Calibri" w:hAnsi="Book Antiqua"/>
          <w:sz w:val="20"/>
          <w:szCs w:val="20"/>
          <w:highlight w:val="yellow"/>
        </w:rPr>
        <w:t>.</w:t>
      </w:r>
    </w:p>
    <w:p w14:paraId="0B6307FE" w14:textId="5BD47C99" w:rsidR="00BD3ED2" w:rsidRPr="00991052" w:rsidRDefault="00585356" w:rsidP="00E54F73">
      <w:pPr>
        <w:pStyle w:val="Prrafodelista"/>
        <w:numPr>
          <w:ilvl w:val="1"/>
          <w:numId w:val="40"/>
        </w:numPr>
        <w:autoSpaceDE w:val="0"/>
        <w:autoSpaceDN w:val="0"/>
        <w:adjustRightInd w:val="0"/>
        <w:spacing w:after="0" w:line="240" w:lineRule="auto"/>
        <w:jc w:val="both"/>
        <w:rPr>
          <w:rFonts w:ascii="Book Antiqua" w:eastAsia="Calibri" w:hAnsi="Book Antiqua"/>
          <w:sz w:val="20"/>
          <w:szCs w:val="20"/>
          <w:highlight w:val="yellow"/>
        </w:rPr>
      </w:pPr>
      <w:r w:rsidRPr="00991052">
        <w:rPr>
          <w:rFonts w:ascii="Book Antiqua" w:eastAsia="Calibri" w:hAnsi="Book Antiqua"/>
          <w:sz w:val="20"/>
          <w:szCs w:val="20"/>
          <w:highlight w:val="yellow"/>
        </w:rPr>
        <w:t>El delito fuente como elemento del tipo objetivo</w:t>
      </w:r>
      <w:r w:rsidR="00E20678" w:rsidRPr="00991052">
        <w:rPr>
          <w:rFonts w:ascii="Book Antiqua" w:eastAsia="Calibri" w:hAnsi="Book Antiqua"/>
          <w:sz w:val="20"/>
          <w:szCs w:val="20"/>
          <w:highlight w:val="yellow"/>
        </w:rPr>
        <w:t xml:space="preserve"> lo reconoce el Acuerdo Plenario 3-2010 y Acuerdo Plenario 7-2011, para</w:t>
      </w:r>
      <w:r w:rsidR="00C4064C" w:rsidRPr="00991052">
        <w:rPr>
          <w:rFonts w:ascii="Book Antiqua" w:eastAsia="Calibri" w:hAnsi="Book Antiqua"/>
          <w:sz w:val="20"/>
          <w:szCs w:val="20"/>
          <w:highlight w:val="yellow"/>
        </w:rPr>
        <w:t xml:space="preserve"> leye</w:t>
      </w:r>
      <w:r w:rsidR="00E20678" w:rsidRPr="00991052">
        <w:rPr>
          <w:rFonts w:ascii="Book Antiqua" w:eastAsia="Calibri" w:hAnsi="Book Antiqua"/>
          <w:sz w:val="20"/>
          <w:szCs w:val="20"/>
          <w:highlight w:val="yellow"/>
        </w:rPr>
        <w:t xml:space="preserve">s anteriores al Decreto Legislativo </w:t>
      </w:r>
      <w:proofErr w:type="spellStart"/>
      <w:r w:rsidR="00E20678" w:rsidRPr="00991052">
        <w:rPr>
          <w:rFonts w:ascii="Book Antiqua" w:eastAsia="Calibri" w:hAnsi="Book Antiqua"/>
          <w:sz w:val="20"/>
          <w:szCs w:val="20"/>
          <w:highlight w:val="yellow"/>
        </w:rPr>
        <w:t>N°</w:t>
      </w:r>
      <w:proofErr w:type="spellEnd"/>
      <w:r w:rsidR="00E20678" w:rsidRPr="00991052">
        <w:rPr>
          <w:rFonts w:ascii="Book Antiqua" w:eastAsia="Calibri" w:hAnsi="Book Antiqua"/>
          <w:sz w:val="20"/>
          <w:szCs w:val="20"/>
          <w:highlight w:val="yellow"/>
        </w:rPr>
        <w:t xml:space="preserve"> </w:t>
      </w:r>
      <w:r w:rsidR="00C4064C" w:rsidRPr="00991052">
        <w:rPr>
          <w:rFonts w:ascii="Book Antiqua" w:eastAsia="Calibri" w:hAnsi="Book Antiqua"/>
          <w:sz w:val="20"/>
          <w:szCs w:val="20"/>
          <w:highlight w:val="yellow"/>
        </w:rPr>
        <w:t>1106</w:t>
      </w:r>
      <w:r w:rsidR="0080146A" w:rsidRPr="00991052">
        <w:rPr>
          <w:rFonts w:ascii="Book Antiqua" w:eastAsia="Calibri" w:hAnsi="Book Antiqua"/>
          <w:sz w:val="20"/>
          <w:szCs w:val="20"/>
          <w:highlight w:val="yellow"/>
        </w:rPr>
        <w:t>.</w:t>
      </w:r>
    </w:p>
    <w:p w14:paraId="01BCD23A" w14:textId="3AC02B5F" w:rsidR="0080146A" w:rsidRPr="00991052" w:rsidRDefault="0072211B" w:rsidP="00E54F73">
      <w:pPr>
        <w:pStyle w:val="Prrafodelista"/>
        <w:numPr>
          <w:ilvl w:val="1"/>
          <w:numId w:val="40"/>
        </w:numPr>
        <w:autoSpaceDE w:val="0"/>
        <w:autoSpaceDN w:val="0"/>
        <w:adjustRightInd w:val="0"/>
        <w:spacing w:after="0" w:line="240" w:lineRule="auto"/>
        <w:jc w:val="both"/>
        <w:rPr>
          <w:rFonts w:ascii="Book Antiqua" w:eastAsia="Calibri" w:hAnsi="Book Antiqua"/>
          <w:sz w:val="20"/>
          <w:szCs w:val="20"/>
          <w:highlight w:val="yellow"/>
        </w:rPr>
      </w:pPr>
      <w:proofErr w:type="gramStart"/>
      <w:r w:rsidRPr="00991052">
        <w:rPr>
          <w:rFonts w:ascii="Book Antiqua" w:eastAsia="Calibri" w:hAnsi="Book Antiqua"/>
          <w:sz w:val="20"/>
          <w:szCs w:val="20"/>
          <w:highlight w:val="yellow"/>
        </w:rPr>
        <w:t xml:space="preserve">Los delitos previos </w:t>
      </w:r>
      <w:r w:rsidR="001B13D5" w:rsidRPr="00991052">
        <w:rPr>
          <w:rFonts w:ascii="Book Antiqua" w:eastAsia="Calibri" w:hAnsi="Book Antiqua"/>
          <w:sz w:val="20"/>
          <w:szCs w:val="20"/>
          <w:highlight w:val="yellow"/>
        </w:rPr>
        <w:t>de</w:t>
      </w:r>
      <w:r w:rsidR="005E107C" w:rsidRPr="00991052">
        <w:rPr>
          <w:rFonts w:ascii="Book Antiqua" w:eastAsia="Calibri" w:hAnsi="Book Antiqua"/>
          <w:sz w:val="20"/>
          <w:szCs w:val="20"/>
          <w:highlight w:val="yellow"/>
        </w:rPr>
        <w:t xml:space="preserve">l delito de </w:t>
      </w:r>
      <w:r w:rsidR="001B13D5" w:rsidRPr="00991052">
        <w:rPr>
          <w:rFonts w:ascii="Book Antiqua" w:eastAsia="Calibri" w:hAnsi="Book Antiqua"/>
          <w:sz w:val="20"/>
          <w:szCs w:val="20"/>
          <w:highlight w:val="yellow"/>
        </w:rPr>
        <w:t>lavado de activos comprende</w:t>
      </w:r>
      <w:proofErr w:type="gramEnd"/>
      <w:r w:rsidR="001B13D5" w:rsidRPr="00991052">
        <w:rPr>
          <w:rFonts w:ascii="Book Antiqua" w:eastAsia="Calibri" w:hAnsi="Book Antiqua"/>
          <w:sz w:val="20"/>
          <w:szCs w:val="20"/>
          <w:highlight w:val="yellow"/>
        </w:rPr>
        <w:t xml:space="preserve"> cualquier delito con capacidad de generar </w:t>
      </w:r>
      <w:r w:rsidR="009E042E" w:rsidRPr="00991052">
        <w:rPr>
          <w:rFonts w:ascii="Book Antiqua" w:eastAsia="Calibri" w:hAnsi="Book Antiqua"/>
          <w:sz w:val="20"/>
          <w:szCs w:val="20"/>
          <w:highlight w:val="yellow"/>
        </w:rPr>
        <w:t>ganancias ilegales, excluyéndose sólo el delito de re</w:t>
      </w:r>
      <w:r w:rsidR="005E107C" w:rsidRPr="00991052">
        <w:rPr>
          <w:rFonts w:ascii="Book Antiqua" w:eastAsia="Calibri" w:hAnsi="Book Antiqua"/>
          <w:sz w:val="20"/>
          <w:szCs w:val="20"/>
          <w:highlight w:val="yellow"/>
        </w:rPr>
        <w:t>ce</w:t>
      </w:r>
      <w:r w:rsidR="009E042E" w:rsidRPr="00991052">
        <w:rPr>
          <w:rFonts w:ascii="Book Antiqua" w:eastAsia="Calibri" w:hAnsi="Book Antiqua"/>
          <w:sz w:val="20"/>
          <w:szCs w:val="20"/>
          <w:highlight w:val="yellow"/>
        </w:rPr>
        <w:t>ptación.</w:t>
      </w:r>
    </w:p>
    <w:p w14:paraId="37ED6626" w14:textId="5BFD63FF" w:rsidR="00390D5C" w:rsidRPr="00991052" w:rsidRDefault="001F11FA" w:rsidP="00E54F73">
      <w:pPr>
        <w:pStyle w:val="Prrafodelista"/>
        <w:numPr>
          <w:ilvl w:val="1"/>
          <w:numId w:val="40"/>
        </w:numPr>
        <w:autoSpaceDE w:val="0"/>
        <w:autoSpaceDN w:val="0"/>
        <w:adjustRightInd w:val="0"/>
        <w:spacing w:after="0" w:line="240" w:lineRule="auto"/>
        <w:jc w:val="both"/>
        <w:rPr>
          <w:rFonts w:ascii="Book Antiqua" w:eastAsia="Calibri" w:hAnsi="Book Antiqua"/>
          <w:sz w:val="20"/>
          <w:szCs w:val="20"/>
          <w:highlight w:val="yellow"/>
        </w:rPr>
      </w:pPr>
      <w:r w:rsidRPr="00991052">
        <w:rPr>
          <w:rFonts w:ascii="Book Antiqua" w:eastAsia="Calibri" w:hAnsi="Book Antiqua"/>
          <w:sz w:val="20"/>
          <w:szCs w:val="20"/>
          <w:highlight w:val="yellow"/>
        </w:rPr>
        <w:t>La ausencia de dolo, no se analiza en este medio técnico de defensa, dado que ello requiere actividad probatoria.</w:t>
      </w:r>
    </w:p>
    <w:p w14:paraId="60855A54" w14:textId="625AE7B2" w:rsidR="00487045" w:rsidRPr="00991052" w:rsidRDefault="00487045" w:rsidP="00591A74">
      <w:pPr>
        <w:autoSpaceDE w:val="0"/>
        <w:autoSpaceDN w:val="0"/>
        <w:adjustRightInd w:val="0"/>
        <w:spacing w:after="0" w:line="240" w:lineRule="auto"/>
        <w:jc w:val="both"/>
        <w:rPr>
          <w:rFonts w:ascii="Book Antiqua" w:eastAsia="Calibri" w:hAnsi="Book Antiqua"/>
          <w:sz w:val="20"/>
          <w:szCs w:val="20"/>
          <w:highlight w:val="yellow"/>
        </w:rPr>
      </w:pPr>
    </w:p>
    <w:p w14:paraId="36417B39" w14:textId="141DD53E" w:rsidR="00C65DDC" w:rsidRPr="00991052" w:rsidRDefault="00C65DDC" w:rsidP="006807FE">
      <w:pPr>
        <w:pStyle w:val="Prrafodelista"/>
        <w:autoSpaceDE w:val="0"/>
        <w:autoSpaceDN w:val="0"/>
        <w:adjustRightInd w:val="0"/>
        <w:spacing w:after="0" w:line="240" w:lineRule="auto"/>
        <w:jc w:val="both"/>
        <w:rPr>
          <w:rFonts w:ascii="Book Antiqua" w:eastAsia="Calibri" w:hAnsi="Book Antiqua"/>
          <w:sz w:val="20"/>
          <w:szCs w:val="20"/>
          <w:highlight w:val="yellow"/>
          <w:lang w:val="es-PE"/>
        </w:rPr>
      </w:pPr>
    </w:p>
    <w:p w14:paraId="2DA8B64D" w14:textId="77777777" w:rsidR="00591A74" w:rsidRPr="00A61931" w:rsidRDefault="00591A74" w:rsidP="00591A74">
      <w:pPr>
        <w:spacing w:line="240" w:lineRule="auto"/>
        <w:jc w:val="both"/>
        <w:rPr>
          <w:rFonts w:ascii="Book Antiqua" w:eastAsia="Calibri" w:hAnsi="Book Antiqua"/>
          <w:b/>
          <w:bCs/>
          <w:smallCaps/>
          <w:color w:val="000000"/>
          <w:spacing w:val="5"/>
          <w:sz w:val="20"/>
          <w:szCs w:val="20"/>
          <w:u w:val="single"/>
          <w:lang w:val="es-PE"/>
        </w:rPr>
      </w:pPr>
      <w:r w:rsidRPr="00A61931">
        <w:rPr>
          <w:rFonts w:ascii="Book Antiqua" w:eastAsia="Calibri" w:hAnsi="Book Antiqua"/>
          <w:b/>
          <w:bCs/>
          <w:color w:val="000000"/>
          <w:sz w:val="20"/>
          <w:szCs w:val="20"/>
          <w:u w:val="single"/>
          <w:lang w:val="es-PE"/>
        </w:rPr>
        <w:t>[</w:t>
      </w:r>
      <w:r w:rsidRPr="00A61931">
        <w:rPr>
          <w:rFonts w:ascii="Book Antiqua" w:eastAsia="Calibri" w:hAnsi="Book Antiqua"/>
          <w:b/>
          <w:bCs/>
          <w:smallCaps/>
          <w:color w:val="000000"/>
          <w:spacing w:val="5"/>
          <w:sz w:val="20"/>
          <w:szCs w:val="20"/>
          <w:u w:val="single"/>
          <w:lang w:val="es-PE"/>
        </w:rPr>
        <w:t>Referencias normativas]</w:t>
      </w:r>
    </w:p>
    <w:p w14:paraId="0E54B531" w14:textId="7FE03561" w:rsidR="005E107C" w:rsidRPr="00A61931" w:rsidRDefault="005E107C" w:rsidP="0065192A">
      <w:pPr>
        <w:pStyle w:val="Sinespaciado"/>
        <w:numPr>
          <w:ilvl w:val="0"/>
          <w:numId w:val="27"/>
        </w:numPr>
        <w:jc w:val="both"/>
        <w:rPr>
          <w:rFonts w:ascii="Book Antiqua" w:eastAsia="Calibri" w:hAnsi="Book Antiqua"/>
          <w:sz w:val="20"/>
          <w:szCs w:val="20"/>
          <w:lang w:val="es-PE"/>
        </w:rPr>
      </w:pPr>
      <w:r w:rsidRPr="00A61931">
        <w:rPr>
          <w:rFonts w:ascii="Book Antiqua" w:eastAsia="Calibri" w:hAnsi="Book Antiqua"/>
          <w:sz w:val="20"/>
          <w:szCs w:val="20"/>
          <w:lang w:val="es-PE"/>
        </w:rPr>
        <w:t>Código Penal.</w:t>
      </w:r>
    </w:p>
    <w:p w14:paraId="7BA462A6" w14:textId="37901C71" w:rsidR="008F369A" w:rsidRPr="00A61931" w:rsidRDefault="009A653E" w:rsidP="008F369A">
      <w:pPr>
        <w:pStyle w:val="Sinespaciado"/>
        <w:numPr>
          <w:ilvl w:val="1"/>
          <w:numId w:val="27"/>
        </w:numPr>
        <w:jc w:val="both"/>
        <w:rPr>
          <w:rFonts w:ascii="Book Antiqua" w:eastAsia="Calibri" w:hAnsi="Book Antiqua"/>
          <w:sz w:val="20"/>
          <w:szCs w:val="20"/>
          <w:lang w:val="es-PE"/>
        </w:rPr>
      </w:pPr>
      <w:bookmarkStart w:id="1" w:name="_Hlk49440692"/>
      <w:r w:rsidRPr="00A61931">
        <w:rPr>
          <w:rFonts w:ascii="Book Antiqua" w:eastAsia="Calibri" w:hAnsi="Book Antiqua"/>
          <w:sz w:val="20"/>
          <w:szCs w:val="20"/>
          <w:lang w:val="pt-BR"/>
        </w:rPr>
        <w:t xml:space="preserve">Artículo  </w:t>
      </w:r>
      <w:r w:rsidR="00C066A0">
        <w:rPr>
          <w:rFonts w:ascii="Book Antiqua" w:eastAsia="Calibri" w:hAnsi="Book Antiqua"/>
          <w:sz w:val="20"/>
          <w:szCs w:val="20"/>
          <w:lang w:val="pt-BR"/>
        </w:rPr>
        <w:t xml:space="preserve">24 y </w:t>
      </w:r>
      <w:r w:rsidRPr="00A61931">
        <w:rPr>
          <w:rFonts w:ascii="Book Antiqua" w:eastAsia="Calibri" w:hAnsi="Book Antiqua"/>
          <w:sz w:val="20"/>
          <w:szCs w:val="20"/>
          <w:lang w:val="pt-BR"/>
        </w:rPr>
        <w:t>356 del Código Penal</w:t>
      </w:r>
    </w:p>
    <w:bookmarkEnd w:id="1"/>
    <w:p w14:paraId="0E2F5E83" w14:textId="67781D6B" w:rsidR="00A7662E" w:rsidRPr="00A61931" w:rsidRDefault="00C0747E" w:rsidP="0065192A">
      <w:pPr>
        <w:pStyle w:val="Sinespaciado"/>
        <w:numPr>
          <w:ilvl w:val="0"/>
          <w:numId w:val="27"/>
        </w:numPr>
        <w:jc w:val="both"/>
        <w:rPr>
          <w:rFonts w:ascii="Book Antiqua" w:eastAsia="Calibri" w:hAnsi="Book Antiqua"/>
          <w:sz w:val="20"/>
          <w:szCs w:val="20"/>
          <w:lang w:val="es-PE"/>
        </w:rPr>
      </w:pPr>
      <w:r w:rsidRPr="00A61931">
        <w:rPr>
          <w:rFonts w:ascii="Book Antiqua" w:eastAsia="Calibri" w:hAnsi="Book Antiqua"/>
          <w:sz w:val="20"/>
          <w:szCs w:val="20"/>
          <w:lang w:val="pt-BR"/>
        </w:rPr>
        <w:t>Código Procesal Penal</w:t>
      </w:r>
      <w:r w:rsidR="002E67AE" w:rsidRPr="00A61931">
        <w:rPr>
          <w:rFonts w:ascii="Book Antiqua" w:eastAsia="Calibri" w:hAnsi="Book Antiqua"/>
          <w:sz w:val="20"/>
          <w:szCs w:val="20"/>
          <w:lang w:val="pt-BR"/>
        </w:rPr>
        <w:t>:</w:t>
      </w:r>
    </w:p>
    <w:p w14:paraId="0464A0F0" w14:textId="104871D8" w:rsidR="009A653E" w:rsidRPr="00A61931" w:rsidRDefault="009A653E" w:rsidP="009A653E">
      <w:pPr>
        <w:pStyle w:val="Sinespaciado"/>
        <w:numPr>
          <w:ilvl w:val="1"/>
          <w:numId w:val="27"/>
        </w:numPr>
        <w:jc w:val="both"/>
        <w:rPr>
          <w:rFonts w:ascii="Book Antiqua" w:eastAsia="Calibri" w:hAnsi="Book Antiqua"/>
          <w:sz w:val="20"/>
          <w:szCs w:val="20"/>
          <w:lang w:val="pt-BR"/>
        </w:rPr>
      </w:pPr>
      <w:r w:rsidRPr="00A61931">
        <w:rPr>
          <w:rFonts w:ascii="Book Antiqua" w:eastAsia="Calibri" w:hAnsi="Book Antiqua"/>
          <w:sz w:val="20"/>
          <w:szCs w:val="20"/>
          <w:lang w:val="pt-BR"/>
        </w:rPr>
        <w:t>Artículos  344.2, 349</w:t>
      </w:r>
      <w:r w:rsidR="00A61931" w:rsidRPr="00A61931">
        <w:rPr>
          <w:rFonts w:ascii="Book Antiqua" w:eastAsia="Calibri" w:hAnsi="Book Antiqua"/>
          <w:sz w:val="20"/>
          <w:szCs w:val="20"/>
          <w:lang w:val="pt-BR"/>
        </w:rPr>
        <w:t>.1</w:t>
      </w:r>
      <w:r w:rsidRPr="00A61931">
        <w:rPr>
          <w:rFonts w:ascii="Book Antiqua" w:eastAsia="Calibri" w:hAnsi="Book Antiqua"/>
          <w:sz w:val="20"/>
          <w:szCs w:val="20"/>
          <w:lang w:val="pt-BR"/>
        </w:rPr>
        <w:t xml:space="preserve"> y 352.4 del Código Procesal Penal</w:t>
      </w:r>
    </w:p>
    <w:p w14:paraId="464437F8" w14:textId="0036FAE2" w:rsidR="00A61931" w:rsidRPr="00A61931" w:rsidRDefault="00A61931" w:rsidP="00A61931">
      <w:pPr>
        <w:pStyle w:val="Sinespaciado"/>
        <w:numPr>
          <w:ilvl w:val="0"/>
          <w:numId w:val="27"/>
        </w:numPr>
        <w:jc w:val="both"/>
        <w:rPr>
          <w:rFonts w:ascii="Book Antiqua" w:eastAsia="Calibri" w:hAnsi="Book Antiqua"/>
          <w:sz w:val="20"/>
          <w:szCs w:val="20"/>
          <w:lang w:val="pt-BR"/>
        </w:rPr>
      </w:pPr>
      <w:r w:rsidRPr="00A61931">
        <w:rPr>
          <w:rFonts w:ascii="Book Antiqua" w:eastAsia="Calibri" w:hAnsi="Book Antiqua"/>
          <w:sz w:val="20"/>
          <w:szCs w:val="20"/>
          <w:lang w:val="pt-BR"/>
        </w:rPr>
        <w:t>Constitución Pólitica del Perú</w:t>
      </w:r>
    </w:p>
    <w:p w14:paraId="58435078" w14:textId="2F377BB5" w:rsidR="00A61931" w:rsidRPr="00B94157" w:rsidRDefault="00A61931" w:rsidP="00B94157">
      <w:pPr>
        <w:pStyle w:val="Sinespaciado"/>
        <w:numPr>
          <w:ilvl w:val="1"/>
          <w:numId w:val="27"/>
        </w:numPr>
        <w:jc w:val="both"/>
        <w:rPr>
          <w:rFonts w:ascii="Book Antiqua" w:eastAsia="Calibri" w:hAnsi="Book Antiqua"/>
          <w:sz w:val="20"/>
          <w:szCs w:val="20"/>
          <w:lang w:val="pt-BR"/>
        </w:rPr>
      </w:pPr>
      <w:r w:rsidRPr="00A61931">
        <w:rPr>
          <w:rFonts w:ascii="Book Antiqua" w:eastAsia="Calibri" w:hAnsi="Book Antiqua"/>
          <w:sz w:val="20"/>
          <w:szCs w:val="20"/>
          <w:lang w:val="pt-BR"/>
        </w:rPr>
        <w:t>Artículo</w:t>
      </w:r>
      <w:r w:rsidR="005313F6">
        <w:rPr>
          <w:rFonts w:ascii="Book Antiqua" w:eastAsia="Calibri" w:hAnsi="Book Antiqua"/>
          <w:sz w:val="20"/>
          <w:szCs w:val="20"/>
          <w:lang w:val="pt-BR"/>
        </w:rPr>
        <w:t>s</w:t>
      </w:r>
      <w:r w:rsidRPr="00A61931">
        <w:rPr>
          <w:rFonts w:ascii="Book Antiqua" w:eastAsia="Calibri" w:hAnsi="Book Antiqua"/>
          <w:sz w:val="20"/>
          <w:szCs w:val="20"/>
          <w:lang w:val="pt-BR"/>
        </w:rPr>
        <w:t xml:space="preserve"> </w:t>
      </w:r>
      <w:r w:rsidR="005313F6">
        <w:rPr>
          <w:rFonts w:ascii="Book Antiqua" w:eastAsia="Calibri" w:hAnsi="Book Antiqua"/>
          <w:sz w:val="20"/>
          <w:szCs w:val="20"/>
          <w:lang w:val="pt-BR"/>
        </w:rPr>
        <w:t>2.</w:t>
      </w:r>
      <w:r w:rsidR="005313F6">
        <w:rPr>
          <w:rFonts w:ascii="Book Antiqua" w:eastAsia="Calibri" w:hAnsi="Book Antiqua"/>
          <w:sz w:val="20"/>
          <w:szCs w:val="20"/>
          <w:lang w:val="pt-BR"/>
        </w:rPr>
        <w:t xml:space="preserve"> [incisos 4, 5, 12, 13, 17 y 24]</w:t>
      </w:r>
      <w:r w:rsidR="00B94157">
        <w:rPr>
          <w:rFonts w:ascii="Book Antiqua" w:eastAsia="Calibri" w:hAnsi="Book Antiqua"/>
          <w:sz w:val="20"/>
          <w:szCs w:val="20"/>
          <w:lang w:val="pt-BR"/>
        </w:rPr>
        <w:t xml:space="preserve"> </w:t>
      </w:r>
      <w:r w:rsidR="007A035F">
        <w:rPr>
          <w:rFonts w:ascii="Book Antiqua" w:eastAsia="Calibri" w:hAnsi="Book Antiqua"/>
          <w:sz w:val="20"/>
          <w:szCs w:val="20"/>
          <w:lang w:val="pt-BR"/>
        </w:rPr>
        <w:t xml:space="preserve">30, </w:t>
      </w:r>
      <w:r w:rsidR="00B94157" w:rsidRPr="00B94157">
        <w:rPr>
          <w:rFonts w:ascii="Book Antiqua" w:eastAsia="Calibri" w:hAnsi="Book Antiqua"/>
          <w:sz w:val="20"/>
          <w:szCs w:val="20"/>
          <w:lang w:val="pt-BR"/>
        </w:rPr>
        <w:t>31,, 35, 43 y 45</w:t>
      </w:r>
      <w:r w:rsidR="007A035F">
        <w:rPr>
          <w:rFonts w:ascii="Book Antiqua" w:eastAsia="Calibri" w:hAnsi="Book Antiqua"/>
          <w:sz w:val="20"/>
          <w:szCs w:val="20"/>
          <w:lang w:val="pt-BR"/>
        </w:rPr>
        <w:t>.</w:t>
      </w:r>
    </w:p>
    <w:p w14:paraId="585DF9FE" w14:textId="08CE4108" w:rsidR="0065192A" w:rsidRPr="00A61931" w:rsidRDefault="0065192A" w:rsidP="00A61931">
      <w:pPr>
        <w:pStyle w:val="Sinespaciado"/>
        <w:ind w:left="1440"/>
        <w:jc w:val="both"/>
        <w:rPr>
          <w:rFonts w:ascii="Book Antiqua" w:eastAsia="Calibri" w:hAnsi="Book Antiqua"/>
          <w:sz w:val="20"/>
          <w:szCs w:val="20"/>
          <w:highlight w:val="yellow"/>
          <w:lang w:val="pt-BR"/>
        </w:rPr>
      </w:pPr>
    </w:p>
    <w:p w14:paraId="6BA19630" w14:textId="77777777" w:rsidR="006807FE" w:rsidRPr="00991052" w:rsidRDefault="006807FE" w:rsidP="0065192A">
      <w:pPr>
        <w:pStyle w:val="Sinespaciado"/>
        <w:ind w:left="720"/>
        <w:jc w:val="both"/>
        <w:rPr>
          <w:rFonts w:ascii="Book Antiqua" w:eastAsia="Calibri" w:hAnsi="Book Antiqua"/>
          <w:sz w:val="20"/>
          <w:szCs w:val="20"/>
          <w:highlight w:val="yellow"/>
          <w:lang w:val="es-PE"/>
        </w:rPr>
      </w:pPr>
    </w:p>
    <w:p w14:paraId="2970EFB4" w14:textId="2EE15584" w:rsidR="00106D1B" w:rsidRPr="00E81225" w:rsidRDefault="003D5C21" w:rsidP="00FD5042">
      <w:pPr>
        <w:spacing w:line="240" w:lineRule="auto"/>
        <w:jc w:val="both"/>
        <w:rPr>
          <w:rFonts w:ascii="Book Antiqua" w:eastAsia="Calibri" w:hAnsi="Book Antiqua"/>
          <w:b/>
          <w:bCs/>
          <w:smallCaps/>
          <w:color w:val="000000"/>
          <w:spacing w:val="5"/>
          <w:sz w:val="20"/>
          <w:szCs w:val="20"/>
          <w:u w:val="single"/>
          <w:lang w:val="es-PE"/>
        </w:rPr>
      </w:pPr>
      <w:r w:rsidRPr="00E81225">
        <w:rPr>
          <w:rFonts w:ascii="Book Antiqua" w:eastAsia="Calibri" w:hAnsi="Book Antiqua"/>
          <w:b/>
          <w:bCs/>
          <w:color w:val="000000"/>
          <w:sz w:val="20"/>
          <w:szCs w:val="20"/>
          <w:u w:val="single"/>
          <w:lang w:val="es-PE"/>
        </w:rPr>
        <w:t>[</w:t>
      </w:r>
      <w:r w:rsidRPr="00E81225">
        <w:rPr>
          <w:rFonts w:ascii="Book Antiqua" w:eastAsia="Calibri" w:hAnsi="Book Antiqua"/>
          <w:b/>
          <w:bCs/>
          <w:smallCaps/>
          <w:color w:val="000000"/>
          <w:spacing w:val="5"/>
          <w:sz w:val="20"/>
          <w:szCs w:val="20"/>
          <w:u w:val="single"/>
          <w:lang w:val="es-PE"/>
        </w:rPr>
        <w:t>jurisprudencia]</w:t>
      </w:r>
      <w:r w:rsidR="00106D1B" w:rsidRPr="00E81225">
        <w:rPr>
          <w:rFonts w:ascii="Book Antiqua" w:eastAsia="Calibri" w:hAnsi="Book Antiqua"/>
          <w:sz w:val="20"/>
          <w:szCs w:val="20"/>
          <w:lang w:val="es-PE"/>
        </w:rPr>
        <w:t xml:space="preserve"> </w:t>
      </w:r>
    </w:p>
    <w:p w14:paraId="5040323B" w14:textId="3239247D" w:rsidR="00E81225" w:rsidRPr="00E81225" w:rsidRDefault="00E81225" w:rsidP="00C0747E">
      <w:pPr>
        <w:pStyle w:val="Sinespaciado"/>
        <w:numPr>
          <w:ilvl w:val="0"/>
          <w:numId w:val="25"/>
        </w:numPr>
        <w:rPr>
          <w:rFonts w:ascii="Book Antiqua" w:eastAsia="Calibri" w:hAnsi="Book Antiqua"/>
          <w:sz w:val="20"/>
          <w:szCs w:val="20"/>
          <w:lang w:val="pt-BR"/>
        </w:rPr>
      </w:pPr>
      <w:r w:rsidRPr="00E81225">
        <w:rPr>
          <w:rFonts w:ascii="Book Antiqua" w:eastAsia="Calibri" w:hAnsi="Book Antiqua"/>
          <w:sz w:val="20"/>
          <w:szCs w:val="20"/>
          <w:lang w:val="es-PE"/>
        </w:rPr>
        <w:t xml:space="preserve">Casación </w:t>
      </w:r>
      <w:proofErr w:type="spellStart"/>
      <w:r w:rsidRPr="00E81225">
        <w:rPr>
          <w:rFonts w:ascii="Book Antiqua" w:eastAsia="Calibri" w:hAnsi="Book Antiqua"/>
          <w:sz w:val="20"/>
          <w:szCs w:val="20"/>
          <w:lang w:val="es-PE"/>
        </w:rPr>
        <w:t>N°</w:t>
      </w:r>
      <w:proofErr w:type="spellEnd"/>
      <w:r w:rsidRPr="00E81225">
        <w:rPr>
          <w:rFonts w:ascii="Book Antiqua" w:eastAsia="Calibri" w:hAnsi="Book Antiqua"/>
          <w:sz w:val="20"/>
          <w:szCs w:val="20"/>
          <w:lang w:val="es-PE"/>
        </w:rPr>
        <w:t xml:space="preserve"> 348-2015-Huanúco</w:t>
      </w:r>
      <w:r w:rsidR="00756BC2">
        <w:rPr>
          <w:rFonts w:ascii="Book Antiqua" w:eastAsia="Calibri" w:hAnsi="Book Antiqua"/>
          <w:sz w:val="20"/>
          <w:szCs w:val="20"/>
          <w:lang w:val="es-PE"/>
        </w:rPr>
        <w:t xml:space="preserve"> </w:t>
      </w:r>
      <w:r w:rsidRPr="00E81225">
        <w:rPr>
          <w:rFonts w:ascii="Book Antiqua" w:eastAsia="Calibri" w:hAnsi="Book Antiqua"/>
          <w:sz w:val="20"/>
          <w:szCs w:val="20"/>
          <w:lang w:val="es-PE"/>
        </w:rPr>
        <w:t>-</w:t>
      </w:r>
      <w:r w:rsidR="00756BC2">
        <w:rPr>
          <w:rFonts w:ascii="Book Antiqua" w:eastAsia="Calibri" w:hAnsi="Book Antiqua"/>
          <w:sz w:val="20"/>
          <w:szCs w:val="20"/>
          <w:lang w:val="es-PE"/>
        </w:rPr>
        <w:t xml:space="preserve"> </w:t>
      </w:r>
      <w:r w:rsidRPr="00E81225">
        <w:rPr>
          <w:rFonts w:ascii="Book Antiqua" w:eastAsia="Calibri" w:hAnsi="Book Antiqua"/>
          <w:sz w:val="20"/>
          <w:szCs w:val="20"/>
          <w:lang w:val="es-PE"/>
        </w:rPr>
        <w:t>Sala Penal Transitoria</w:t>
      </w:r>
      <w:r w:rsidRPr="00E81225">
        <w:rPr>
          <w:rFonts w:ascii="Book Antiqua" w:eastAsia="Calibri" w:hAnsi="Book Antiqua"/>
          <w:sz w:val="20"/>
          <w:szCs w:val="20"/>
          <w:lang w:val="es-PE"/>
        </w:rPr>
        <w:t xml:space="preserve">. </w:t>
      </w:r>
    </w:p>
    <w:p w14:paraId="53D398C2" w14:textId="361882A4" w:rsidR="00E81225" w:rsidRPr="00E81225" w:rsidRDefault="00E81225" w:rsidP="00C0747E">
      <w:pPr>
        <w:pStyle w:val="Sinespaciado"/>
        <w:numPr>
          <w:ilvl w:val="0"/>
          <w:numId w:val="25"/>
        </w:numPr>
        <w:rPr>
          <w:rFonts w:ascii="Book Antiqua" w:eastAsia="Calibri" w:hAnsi="Book Antiqua"/>
          <w:sz w:val="20"/>
          <w:szCs w:val="20"/>
          <w:lang w:val="pt-BR"/>
        </w:rPr>
      </w:pPr>
      <w:r w:rsidRPr="00E81225">
        <w:rPr>
          <w:rFonts w:ascii="Book Antiqua" w:eastAsia="Calibri" w:hAnsi="Book Antiqua"/>
          <w:sz w:val="20"/>
          <w:szCs w:val="20"/>
          <w:lang w:val="pt-BR"/>
        </w:rPr>
        <w:t>EXP. N. ° 0030-2005-PI/TC</w:t>
      </w:r>
      <w:r w:rsidRPr="00E81225">
        <w:rPr>
          <w:rFonts w:ascii="Book Antiqua" w:eastAsia="Calibri" w:hAnsi="Book Antiqua"/>
          <w:sz w:val="20"/>
          <w:szCs w:val="20"/>
          <w:lang w:val="pt-BR"/>
        </w:rPr>
        <w:t>.</w:t>
      </w:r>
    </w:p>
    <w:p w14:paraId="740DC741" w14:textId="77777777" w:rsidR="00C0747E" w:rsidRPr="00E81225" w:rsidRDefault="00C0747E" w:rsidP="00C0747E">
      <w:pPr>
        <w:pStyle w:val="Sinespaciado"/>
        <w:ind w:left="720"/>
        <w:rPr>
          <w:rFonts w:ascii="Book Antiqua" w:eastAsia="Calibri" w:hAnsi="Book Antiqua"/>
          <w:sz w:val="20"/>
          <w:szCs w:val="20"/>
          <w:lang w:val="pt-BR"/>
        </w:rPr>
      </w:pPr>
    </w:p>
    <w:p w14:paraId="2DA8B65A" w14:textId="7E3CB27A" w:rsidR="00591A74" w:rsidRPr="00991052" w:rsidRDefault="00591A74" w:rsidP="006D074D">
      <w:pPr>
        <w:pStyle w:val="Prrafodelista"/>
        <w:autoSpaceDE w:val="0"/>
        <w:autoSpaceDN w:val="0"/>
        <w:adjustRightInd w:val="0"/>
        <w:spacing w:after="0" w:line="240" w:lineRule="auto"/>
        <w:jc w:val="both"/>
        <w:rPr>
          <w:rFonts w:ascii="Book Antiqua" w:hAnsi="Book Antiqua"/>
          <w:smallCaps/>
          <w:color w:val="4472C4"/>
          <w:spacing w:val="5"/>
          <w:sz w:val="20"/>
          <w:szCs w:val="20"/>
          <w:highlight w:val="yellow"/>
          <w:lang w:val="pt-BR"/>
        </w:rPr>
      </w:pPr>
      <w:r w:rsidRPr="00991052">
        <w:rPr>
          <w:rFonts w:ascii="Book Antiqua" w:hAnsi="Book Antiqua"/>
          <w:smallCaps/>
          <w:noProof/>
          <w:spacing w:val="5"/>
          <w:sz w:val="20"/>
          <w:szCs w:val="20"/>
          <w:highlight w:val="yellow"/>
          <w:u w:val="single"/>
          <w:lang w:val="es-PE" w:eastAsia="es-PE"/>
        </w:rPr>
        <w:lastRenderedPageBreak/>
        <mc:AlternateContent>
          <mc:Choice Requires="wps">
            <w:drawing>
              <wp:anchor distT="0" distB="0" distL="114300" distR="114300" simplePos="0" relativeHeight="251661312" behindDoc="0" locked="0" layoutInCell="1" allowOverlap="1" wp14:anchorId="2DA8B680" wp14:editId="2DA8B681">
                <wp:simplePos x="0" y="0"/>
                <wp:positionH relativeFrom="column">
                  <wp:posOffset>-59690</wp:posOffset>
                </wp:positionH>
                <wp:positionV relativeFrom="paragraph">
                  <wp:posOffset>168910</wp:posOffset>
                </wp:positionV>
                <wp:extent cx="4071620" cy="635"/>
                <wp:effectExtent l="20320" t="15240" r="41910" b="41275"/>
                <wp:wrapNone/>
                <wp:docPr id="6" name="Conector: angula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71620" cy="635"/>
                        </a:xfrm>
                        <a:prstGeom prst="bentConnector3">
                          <a:avLst>
                            <a:gd name="adj1" fmla="val 50000"/>
                          </a:avLst>
                        </a:prstGeom>
                        <a:noFill/>
                        <a:ln w="28575">
                          <a:solidFill>
                            <a:srgbClr val="000000"/>
                          </a:solidFill>
                          <a:miter lim="800000"/>
                          <a:headEnd/>
                          <a:tailEnd/>
                        </a:ln>
                        <a:effectLst>
                          <a:outerShdw dist="35921" dir="2700000" algn="ctr" rotWithShape="0">
                            <a:srgbClr val="808080"/>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4B40D94" id="Conector: angular 6" o:spid="_x0000_s1026" type="#_x0000_t34" style="position:absolute;margin-left:-4.7pt;margin-top:13.3pt;width:320.6pt;height:.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" strokeweight="2.25pt">
                <v:shadow on="t"/>
              </v:shape>
            </w:pict>
          </mc:Fallback>
        </mc:AlternateContent>
      </w:r>
    </w:p>
    <w:p w14:paraId="0C967536" w14:textId="77777777" w:rsidR="00367E5A" w:rsidRPr="00991052" w:rsidRDefault="00367E5A" w:rsidP="00591A74">
      <w:pPr>
        <w:spacing w:line="240" w:lineRule="auto"/>
        <w:jc w:val="both"/>
        <w:rPr>
          <w:rFonts w:ascii="Book Antiqua" w:eastAsia="Calibri" w:hAnsi="Book Antiqua"/>
          <w:smallCaps/>
          <w:color w:val="000000"/>
          <w:sz w:val="20"/>
          <w:szCs w:val="20"/>
          <w:highlight w:val="yellow"/>
          <w:u w:val="single"/>
          <w:lang w:val="es-PE"/>
        </w:rPr>
      </w:pPr>
    </w:p>
    <w:p w14:paraId="2DA8B65B" w14:textId="1D101230" w:rsidR="00591A74" w:rsidRPr="00991052" w:rsidRDefault="00591A74" w:rsidP="00591A74">
      <w:pPr>
        <w:spacing w:line="240" w:lineRule="auto"/>
        <w:jc w:val="both"/>
        <w:rPr>
          <w:rFonts w:ascii="Book Antiqua" w:eastAsia="Calibri" w:hAnsi="Book Antiqua"/>
          <w:b/>
          <w:bCs/>
          <w:smallCaps/>
          <w:color w:val="000000"/>
          <w:sz w:val="20"/>
          <w:szCs w:val="20"/>
          <w:highlight w:val="yellow"/>
          <w:u w:val="single"/>
          <w:lang w:val="es-PE"/>
        </w:rPr>
      </w:pPr>
      <w:r w:rsidRPr="00E81EC1">
        <w:rPr>
          <w:rFonts w:ascii="Book Antiqua" w:eastAsia="Calibri" w:hAnsi="Book Antiqua"/>
          <w:b/>
          <w:bCs/>
          <w:smallCaps/>
          <w:color w:val="000000"/>
          <w:sz w:val="20"/>
          <w:szCs w:val="20"/>
          <w:u w:val="single"/>
          <w:lang w:val="es-PE"/>
        </w:rPr>
        <w:t>[Considerando relevante]</w:t>
      </w:r>
    </w:p>
    <w:p w14:paraId="59F6B412" w14:textId="77777777" w:rsidR="00377ECB" w:rsidRPr="00717E5B" w:rsidRDefault="00377ECB" w:rsidP="00377ECB">
      <w:pPr>
        <w:spacing w:line="240" w:lineRule="auto"/>
        <w:jc w:val="both"/>
        <w:rPr>
          <w:rFonts w:ascii="Book Antiqua" w:hAnsi="Book Antiqua"/>
          <w:b/>
          <w:bCs/>
          <w:sz w:val="20"/>
          <w:szCs w:val="20"/>
        </w:rPr>
      </w:pPr>
      <w:r w:rsidRPr="00717E5B">
        <w:rPr>
          <w:rFonts w:ascii="Book Antiqua" w:hAnsi="Book Antiqua"/>
          <w:b/>
          <w:bCs/>
          <w:sz w:val="20"/>
          <w:szCs w:val="20"/>
        </w:rPr>
        <w:t>Interpretación sistemática y lógica de los elementos de convicción</w:t>
      </w:r>
    </w:p>
    <w:p w14:paraId="6866EE0E" w14:textId="77777777" w:rsidR="00377ECB" w:rsidRPr="00377ECB" w:rsidRDefault="00377ECB" w:rsidP="00377ECB">
      <w:pPr>
        <w:spacing w:line="240" w:lineRule="auto"/>
        <w:jc w:val="both"/>
        <w:rPr>
          <w:rFonts w:ascii="Book Antiqua" w:hAnsi="Book Antiqua"/>
          <w:sz w:val="20"/>
          <w:szCs w:val="20"/>
        </w:rPr>
      </w:pPr>
      <w:r w:rsidRPr="00717E5B">
        <w:rPr>
          <w:rFonts w:ascii="Book Antiqua" w:hAnsi="Book Antiqua"/>
          <w:b/>
          <w:bCs/>
          <w:sz w:val="20"/>
          <w:szCs w:val="20"/>
        </w:rPr>
        <w:t>Décimo quinto. -</w:t>
      </w:r>
      <w:r w:rsidRPr="00377ECB">
        <w:rPr>
          <w:rFonts w:ascii="Book Antiqua" w:hAnsi="Book Antiqua"/>
          <w:sz w:val="20"/>
          <w:szCs w:val="20"/>
        </w:rPr>
        <w:t xml:space="preserve"> En el Código Procesal Penal se mencionan los llamados elementos de convicción, pero no se le da un contenido concreto, se le vincula con su suficiencia, pero no se le dota de un contenido material. Una primera aproximación conceptual a su contenido sería la siguiente: Por la etapa en los que son utilizados, luego de realizados los actos de investigación, durante la investigación preparatoria, los elementos de convicción son los fundamentos o las razones suficientes que tiene el fiscal para tener la certeza o convencimiento que se puede imputar un hecho unible al imputado, como autor o partícipe y, por ende, formularle una acusación e ir a juicio.</w:t>
      </w:r>
    </w:p>
    <w:p w14:paraId="4FC76EEB" w14:textId="77777777" w:rsidR="00377ECB" w:rsidRPr="00377ECB" w:rsidRDefault="00377ECB" w:rsidP="00377ECB">
      <w:pPr>
        <w:spacing w:line="240" w:lineRule="auto"/>
        <w:jc w:val="both"/>
        <w:rPr>
          <w:rFonts w:ascii="Book Antiqua" w:hAnsi="Book Antiqua"/>
          <w:sz w:val="20"/>
          <w:szCs w:val="20"/>
        </w:rPr>
      </w:pPr>
      <w:r w:rsidRPr="00377ECB">
        <w:rPr>
          <w:rFonts w:ascii="Book Antiqua" w:hAnsi="Book Antiqua"/>
          <w:sz w:val="20"/>
          <w:szCs w:val="20"/>
        </w:rPr>
        <w:t>Para una mayor delimitación de sus alcances pueden plantearse los siguientes criterios; a) Los elementos de convicción son los que sirven de base para la formulación de una acusación fiscal; b) No pueden tener la misma intensidad incriminatoria que la prueba, obtenible solo en juicio, pues solo genera certeza en el fiscal que es quien sostiene sus acusación; c) Por juicio a contrario del artículo 344.2; d) Los elementos de convicción deben ser suficientes, para acusar, pues en situación inversa solo daría lugar al sobreseimiento; e) Quienes determinan, por regla general, la suficiencia de los elementos de convicción, son los fiscales, pues son ellos los  titulares de la acción penal; f) Solo cuando la insuficiencia de elementos de  convicción  sea  evidente  o  cuando no exista la posibilidad</w:t>
      </w:r>
    </w:p>
    <w:p w14:paraId="30F7136D" w14:textId="77777777" w:rsidR="00377ECB" w:rsidRPr="00377ECB" w:rsidRDefault="00377ECB" w:rsidP="00377ECB">
      <w:pPr>
        <w:spacing w:line="240" w:lineRule="auto"/>
        <w:jc w:val="both"/>
        <w:rPr>
          <w:rFonts w:ascii="Book Antiqua" w:hAnsi="Book Antiqua"/>
          <w:sz w:val="20"/>
          <w:szCs w:val="20"/>
        </w:rPr>
      </w:pPr>
      <w:r w:rsidRPr="00377ECB">
        <w:rPr>
          <w:rFonts w:ascii="Book Antiqua" w:hAnsi="Book Antiqua"/>
          <w:sz w:val="20"/>
          <w:szCs w:val="20"/>
        </w:rPr>
        <w:t>razonable de incorporar al juicio, elementos de prueba -que en realidad son de convicción- puede instar el sobreseimiento, la defensa, o el juez decretarlo de oficio.</w:t>
      </w:r>
    </w:p>
    <w:p w14:paraId="11B0FF36" w14:textId="77777777" w:rsidR="00377ECB" w:rsidRPr="00717E5B" w:rsidRDefault="00377ECB" w:rsidP="00377ECB">
      <w:pPr>
        <w:spacing w:line="240" w:lineRule="auto"/>
        <w:jc w:val="both"/>
        <w:rPr>
          <w:rFonts w:ascii="Book Antiqua" w:hAnsi="Book Antiqua"/>
          <w:b/>
          <w:bCs/>
          <w:sz w:val="20"/>
          <w:szCs w:val="20"/>
        </w:rPr>
      </w:pPr>
      <w:r w:rsidRPr="00717E5B">
        <w:rPr>
          <w:rFonts w:ascii="Book Antiqua" w:hAnsi="Book Antiqua"/>
          <w:b/>
          <w:bCs/>
          <w:sz w:val="20"/>
          <w:szCs w:val="20"/>
        </w:rPr>
        <w:t>Control de la acusación y en particular de sus elementos de convicción</w:t>
      </w:r>
    </w:p>
    <w:p w14:paraId="4E3B8073" w14:textId="77777777" w:rsidR="00377ECB" w:rsidRPr="00377ECB" w:rsidRDefault="00377ECB" w:rsidP="00377ECB">
      <w:pPr>
        <w:spacing w:line="240" w:lineRule="auto"/>
        <w:jc w:val="both"/>
        <w:rPr>
          <w:rFonts w:ascii="Book Antiqua" w:hAnsi="Book Antiqua"/>
          <w:sz w:val="20"/>
          <w:szCs w:val="20"/>
        </w:rPr>
      </w:pPr>
      <w:r w:rsidRPr="00717E5B">
        <w:rPr>
          <w:rFonts w:ascii="Book Antiqua" w:hAnsi="Book Antiqua"/>
          <w:b/>
          <w:bCs/>
          <w:sz w:val="20"/>
          <w:szCs w:val="20"/>
        </w:rPr>
        <w:t>Décimo sexto. -</w:t>
      </w:r>
      <w:r w:rsidRPr="00377ECB">
        <w:rPr>
          <w:rFonts w:ascii="Book Antiqua" w:hAnsi="Book Antiqua"/>
          <w:sz w:val="20"/>
          <w:szCs w:val="20"/>
        </w:rPr>
        <w:t xml:space="preserve"> Una de los avances del nuevo sistema procesal penal, es el hecho que la acusación formulada por el fiscal, para ir a juicio, está sujeta a un control por las partes, en una audiencia preliminar. En el nuevo sistema entonces, se establece una valla que los fiscales, como titulares de la acción penal deben superar. La cuestión que debe esclarecerse es, cuál es el alcance de dicho control, y qué grado de injerencia tienen las partes para controlarla.</w:t>
      </w:r>
    </w:p>
    <w:p w14:paraId="5BBBA0B4" w14:textId="77777777" w:rsidR="00377ECB" w:rsidRPr="00377ECB" w:rsidRDefault="00377ECB" w:rsidP="00377ECB">
      <w:pPr>
        <w:spacing w:line="240" w:lineRule="auto"/>
        <w:jc w:val="both"/>
        <w:rPr>
          <w:rFonts w:ascii="Book Antiqua" w:hAnsi="Book Antiqua"/>
          <w:sz w:val="20"/>
          <w:szCs w:val="20"/>
        </w:rPr>
      </w:pPr>
      <w:r w:rsidRPr="00377ECB">
        <w:rPr>
          <w:rFonts w:ascii="Book Antiqua" w:hAnsi="Book Antiqua"/>
          <w:sz w:val="20"/>
          <w:szCs w:val="20"/>
        </w:rPr>
        <w:t>En este sentido, se establece que la acusación será debidamente motivada. De esta manera, los fiscales al igual que los jueces deben fundamentar suficientemente, de manera lógica e integral su pretensión persecutoria. Con el nuevo sistema procesal penal ya no es más posible que los fiscales presenten acusaciones incompletas, enrevesadas, ilógicas contradictorias, deben satisfacer un mínimo estándar de suficiencia que permita a la defensa preparar su teoría del caso, en juicio.</w:t>
      </w:r>
    </w:p>
    <w:p w14:paraId="48110CEE" w14:textId="77777777" w:rsidR="00377ECB" w:rsidRPr="00377ECB" w:rsidRDefault="00377ECB" w:rsidP="00377ECB">
      <w:pPr>
        <w:spacing w:line="240" w:lineRule="auto"/>
        <w:jc w:val="both"/>
        <w:rPr>
          <w:rFonts w:ascii="Book Antiqua" w:hAnsi="Book Antiqua"/>
          <w:sz w:val="20"/>
          <w:szCs w:val="20"/>
        </w:rPr>
      </w:pPr>
      <w:r w:rsidRPr="00377ECB">
        <w:rPr>
          <w:rFonts w:ascii="Book Antiqua" w:hAnsi="Book Antiqua"/>
          <w:sz w:val="20"/>
          <w:szCs w:val="20"/>
        </w:rPr>
        <w:t>Pero, además, la acusación fiscal debe contar con un conjunto de requisitos fácticos y jurídicos que son mencionados de manera taxativa e independiente, uno de los cuales son los elementos de convicción.</w:t>
      </w:r>
    </w:p>
    <w:p w14:paraId="5129E3BF" w14:textId="77777777" w:rsidR="00377ECB" w:rsidRPr="00377ECB" w:rsidRDefault="00377ECB" w:rsidP="00377ECB">
      <w:pPr>
        <w:spacing w:line="240" w:lineRule="auto"/>
        <w:jc w:val="both"/>
        <w:rPr>
          <w:rFonts w:ascii="Book Antiqua" w:hAnsi="Book Antiqua"/>
          <w:sz w:val="20"/>
          <w:szCs w:val="20"/>
        </w:rPr>
      </w:pPr>
      <w:r w:rsidRPr="00717E5B">
        <w:rPr>
          <w:rFonts w:ascii="Book Antiqua" w:hAnsi="Book Antiqua"/>
          <w:b/>
          <w:bCs/>
          <w:sz w:val="20"/>
          <w:szCs w:val="20"/>
        </w:rPr>
        <w:t>Décimo sétimo. -</w:t>
      </w:r>
      <w:r w:rsidRPr="00377ECB">
        <w:rPr>
          <w:rFonts w:ascii="Book Antiqua" w:hAnsi="Book Antiqua"/>
          <w:sz w:val="20"/>
          <w:szCs w:val="20"/>
        </w:rPr>
        <w:t xml:space="preserve"> Ahora bien, fijadas estas dos exigencias, con relación a la acusación (motivación e integralidad), ¿cuál es el control que puede ejercerse respecto de ella? La respuesta está en función, otra vez, del estadio en que se formula y el rol de quien, como titular exclusivo, la realiza.</w:t>
      </w:r>
    </w:p>
    <w:p w14:paraId="2568894E" w14:textId="29E9D37A" w:rsidR="00377ECB" w:rsidRPr="00377ECB" w:rsidRDefault="00377ECB" w:rsidP="00377ECB">
      <w:pPr>
        <w:spacing w:line="240" w:lineRule="auto"/>
        <w:jc w:val="both"/>
        <w:rPr>
          <w:rFonts w:ascii="Book Antiqua" w:hAnsi="Book Antiqua"/>
          <w:sz w:val="20"/>
          <w:szCs w:val="20"/>
        </w:rPr>
      </w:pPr>
      <w:r w:rsidRPr="00717E5B">
        <w:rPr>
          <w:rFonts w:ascii="Book Antiqua" w:hAnsi="Book Antiqua"/>
          <w:b/>
          <w:bCs/>
          <w:sz w:val="20"/>
          <w:szCs w:val="20"/>
        </w:rPr>
        <w:t>Décimo octavo. -</w:t>
      </w:r>
      <w:r w:rsidRPr="00377ECB">
        <w:rPr>
          <w:rFonts w:ascii="Book Antiqua" w:hAnsi="Book Antiqua"/>
          <w:sz w:val="20"/>
          <w:szCs w:val="20"/>
        </w:rPr>
        <w:t xml:space="preserve"> En este contexto, inicialmente, las partes y en particular la defensa solo tienen la posibilidad de hacer un control formal de la acusación; dar cuenta por ejemplo de omisiones relevantes en la acusación; indefinición en el título de imputación; insuficiencia o contradicción en la identificación de los acusados; insuficiente </w:t>
      </w:r>
      <w:proofErr w:type="gramStart"/>
      <w:r w:rsidRPr="00377ECB">
        <w:rPr>
          <w:rFonts w:ascii="Book Antiqua" w:hAnsi="Book Antiqua"/>
          <w:sz w:val="20"/>
          <w:szCs w:val="20"/>
        </w:rPr>
        <w:t>individualización  de</w:t>
      </w:r>
      <w:proofErr w:type="gramEnd"/>
      <w:r w:rsidRPr="00377ECB">
        <w:rPr>
          <w:rFonts w:ascii="Book Antiqua" w:hAnsi="Book Antiqua"/>
          <w:sz w:val="20"/>
          <w:szCs w:val="20"/>
        </w:rPr>
        <w:t xml:space="preserve">  los  acusados  con   relación  a los  hechos objeto del</w:t>
      </w:r>
      <w:r w:rsidR="00941BD7">
        <w:rPr>
          <w:rFonts w:ascii="Book Antiqua" w:hAnsi="Book Antiqua"/>
          <w:sz w:val="20"/>
          <w:szCs w:val="20"/>
        </w:rPr>
        <w:t xml:space="preserve"> </w:t>
      </w:r>
      <w:r w:rsidRPr="00377ECB">
        <w:rPr>
          <w:rFonts w:ascii="Book Antiqua" w:hAnsi="Book Antiqua"/>
          <w:sz w:val="20"/>
          <w:szCs w:val="20"/>
        </w:rPr>
        <w:t>proceso o confusión en los tipos penales invocados. Se trata por tanto de errores o insuficiencias en la debida motivación de la acusación.</w:t>
      </w:r>
    </w:p>
    <w:p w14:paraId="36682E6F" w14:textId="77777777" w:rsidR="00377ECB" w:rsidRPr="00377ECB" w:rsidRDefault="00377ECB" w:rsidP="00377ECB">
      <w:pPr>
        <w:spacing w:line="240" w:lineRule="auto"/>
        <w:jc w:val="both"/>
        <w:rPr>
          <w:rFonts w:ascii="Book Antiqua" w:hAnsi="Book Antiqua"/>
          <w:sz w:val="20"/>
          <w:szCs w:val="20"/>
        </w:rPr>
      </w:pPr>
      <w:r w:rsidRPr="00717E5B">
        <w:rPr>
          <w:rFonts w:ascii="Book Antiqua" w:hAnsi="Book Antiqua"/>
          <w:b/>
          <w:bCs/>
          <w:sz w:val="20"/>
          <w:szCs w:val="20"/>
        </w:rPr>
        <w:lastRenderedPageBreak/>
        <w:t xml:space="preserve">Décimo noveno. </w:t>
      </w:r>
      <w:r w:rsidRPr="00377ECB">
        <w:rPr>
          <w:rFonts w:ascii="Book Antiqua" w:hAnsi="Book Antiqua"/>
          <w:sz w:val="20"/>
          <w:szCs w:val="20"/>
        </w:rPr>
        <w:t xml:space="preserve">- Se evidencia la necesidad de interpretar el artículo 352, inciso 4, del Código Procesal penal para definir el grado de convicción necesario para considerar la suficiencia de elementos de convicción y el alcance del control jurisdiccional del requerimiento acusatorio durante la etapa intermedia, todo ello desde la perspectiva de las funciones del Ministerio Público y del Juez de Investigación Preparatoria. </w:t>
      </w:r>
    </w:p>
    <w:p w14:paraId="55CA1B89" w14:textId="77777777" w:rsidR="00377ECB" w:rsidRPr="00377ECB" w:rsidRDefault="00377ECB" w:rsidP="00377ECB">
      <w:pPr>
        <w:spacing w:line="240" w:lineRule="auto"/>
        <w:jc w:val="both"/>
        <w:rPr>
          <w:rFonts w:ascii="Book Antiqua" w:hAnsi="Book Antiqua"/>
          <w:sz w:val="20"/>
          <w:szCs w:val="20"/>
        </w:rPr>
      </w:pPr>
      <w:r w:rsidRPr="00717E5B">
        <w:rPr>
          <w:rFonts w:ascii="Book Antiqua" w:hAnsi="Book Antiqua"/>
          <w:b/>
          <w:bCs/>
          <w:sz w:val="20"/>
          <w:szCs w:val="20"/>
        </w:rPr>
        <w:t>Vigésimo.</w:t>
      </w:r>
      <w:r w:rsidRPr="00377ECB">
        <w:rPr>
          <w:rFonts w:ascii="Book Antiqua" w:hAnsi="Book Antiqua"/>
          <w:sz w:val="20"/>
          <w:szCs w:val="20"/>
        </w:rPr>
        <w:t xml:space="preserve"> - Respecto al control sustancial, con relación a los elementos de convicción presentados en la acusación debe considerarse que el que puede ejercerse, tiene que circunscribirse exclusivamente a los casos en el que el juicio de suficiencia, que les está permitido hacer a las partes, tenga por resultado la evidente certeza de la concurrencia de un supuesto de sobreseimiento y, en su caso, la imposibilidad altamente probable que no se podrá incorporar nuevos elementos de prueba. Pero entiéndase que estos son casos límites, notorios, aprehensibles por cualquiera: inexistencia del objeto del proceso; imposibilidad que el imputado haya estado presente en el lugar del hecho; el hecho investigado ha devenido en atípico; o hay eximentes de responsabilidad evidentes; no hay mayor controversia que la acción penal se ha extinguido (prescripción evidente o muerte del imputado). Y en el caso que es motivo casacional que resulte, a todas luces, evidente que no hay elementos de convicción o que estos no estén apoyados en medios probatorios que puedan generar formación relacionada con el objeto del proceso (testigos, videos o actas). Finalmente, no pudiéndose sobreseer, en la etapa intermedia, un proceso penal cuando haya elementos de convicción que generen duda, en la comisión del delito o en la responsabilidad penal del imputado, que exige el esclarecimiento en el juicio oral. </w:t>
      </w:r>
    </w:p>
    <w:p w14:paraId="20E406DF" w14:textId="2727DDCE" w:rsidR="00377ECB" w:rsidRPr="00377ECB" w:rsidRDefault="00377ECB" w:rsidP="00377ECB">
      <w:pPr>
        <w:spacing w:line="240" w:lineRule="auto"/>
        <w:jc w:val="both"/>
        <w:rPr>
          <w:rFonts w:ascii="Book Antiqua" w:hAnsi="Book Antiqua"/>
          <w:sz w:val="20"/>
          <w:szCs w:val="20"/>
        </w:rPr>
      </w:pPr>
      <w:r w:rsidRPr="00717E5B">
        <w:rPr>
          <w:rFonts w:ascii="Book Antiqua" w:hAnsi="Book Antiqua"/>
          <w:b/>
          <w:bCs/>
          <w:sz w:val="20"/>
          <w:szCs w:val="20"/>
        </w:rPr>
        <w:t>Vigésimo primero. -</w:t>
      </w:r>
      <w:r w:rsidRPr="00377ECB">
        <w:rPr>
          <w:rFonts w:ascii="Book Antiqua" w:hAnsi="Book Antiqua"/>
          <w:sz w:val="20"/>
          <w:szCs w:val="20"/>
        </w:rPr>
        <w:t xml:space="preserve"> Es decir, tanto la decisión del Ministerio Público como la solicitud que puede realizar el acusado o su defensa de sobreseer la acción penal se encuentra regulada por la misma norma adjetiva. Sin </w:t>
      </w:r>
      <w:proofErr w:type="gramStart"/>
      <w:r w:rsidR="00FA6AF7" w:rsidRPr="00377ECB">
        <w:rPr>
          <w:rFonts w:ascii="Book Antiqua" w:hAnsi="Book Antiqua"/>
          <w:sz w:val="20"/>
          <w:szCs w:val="20"/>
        </w:rPr>
        <w:t>embargo</w:t>
      </w:r>
      <w:proofErr w:type="gramEnd"/>
      <w:r w:rsidRPr="00377ECB">
        <w:rPr>
          <w:rFonts w:ascii="Book Antiqua" w:hAnsi="Book Antiqua"/>
          <w:sz w:val="20"/>
          <w:szCs w:val="20"/>
        </w:rPr>
        <w:t xml:space="preserve"> el presupuesto de aplicación entre uno y otro sujeto procesal descansa en un fundamento diferente pues por mandato constitucional el Ministerio Público es el único encargado de desempeñar la acción penal,</w:t>
      </w:r>
      <w:r w:rsidR="00941BD7">
        <w:rPr>
          <w:rFonts w:ascii="Book Antiqua" w:hAnsi="Book Antiqua"/>
          <w:sz w:val="20"/>
          <w:szCs w:val="20"/>
        </w:rPr>
        <w:t xml:space="preserve"> </w:t>
      </w:r>
      <w:r w:rsidRPr="00377ECB">
        <w:rPr>
          <w:rFonts w:ascii="Book Antiqua" w:hAnsi="Book Antiqua"/>
          <w:sz w:val="20"/>
          <w:szCs w:val="20"/>
        </w:rPr>
        <w:t>mientras que, en contraparte, el procesado y su defensa pueden únicamente cuestionarla ante el Juez de Investigación Preparatoria, en ese sentido, considerando quien únicamente tiene, en esta etapa del proceso, fundamentalmente, como función el control judicial y de garantías</w:t>
      </w:r>
      <w:r w:rsidR="00FA6AF7">
        <w:rPr>
          <w:rStyle w:val="Refdenotaalpie"/>
          <w:rFonts w:ascii="Book Antiqua" w:hAnsi="Book Antiqua"/>
          <w:sz w:val="20"/>
          <w:szCs w:val="20"/>
        </w:rPr>
        <w:footnoteReference w:id="1"/>
      </w:r>
    </w:p>
    <w:p w14:paraId="66E8692F" w14:textId="77777777" w:rsidR="00377ECB" w:rsidRPr="00FA6AF7" w:rsidRDefault="00377ECB" w:rsidP="00377ECB">
      <w:pPr>
        <w:spacing w:line="240" w:lineRule="auto"/>
        <w:jc w:val="both"/>
        <w:rPr>
          <w:rFonts w:ascii="Book Antiqua" w:hAnsi="Book Antiqua"/>
          <w:b/>
          <w:bCs/>
          <w:sz w:val="20"/>
          <w:szCs w:val="20"/>
        </w:rPr>
      </w:pPr>
      <w:r w:rsidRPr="00FA6AF7">
        <w:rPr>
          <w:rFonts w:ascii="Book Antiqua" w:hAnsi="Book Antiqua"/>
          <w:b/>
          <w:bCs/>
          <w:sz w:val="20"/>
          <w:szCs w:val="20"/>
        </w:rPr>
        <w:t xml:space="preserve">B. </w:t>
      </w:r>
      <w:r w:rsidRPr="00FA6AF7">
        <w:rPr>
          <w:rFonts w:ascii="Book Antiqua" w:hAnsi="Book Antiqua"/>
          <w:b/>
          <w:bCs/>
          <w:sz w:val="20"/>
          <w:szCs w:val="20"/>
        </w:rPr>
        <w:tab/>
        <w:t>Segundo motivo casacional: Estructura típica del delito de inducción al voto</w:t>
      </w:r>
    </w:p>
    <w:p w14:paraId="7D18178C" w14:textId="77777777" w:rsidR="00377ECB" w:rsidRPr="00717E5B" w:rsidRDefault="00377ECB" w:rsidP="00377ECB">
      <w:pPr>
        <w:spacing w:line="240" w:lineRule="auto"/>
        <w:jc w:val="both"/>
        <w:rPr>
          <w:rFonts w:ascii="Book Antiqua" w:hAnsi="Book Antiqua"/>
          <w:b/>
          <w:bCs/>
          <w:sz w:val="20"/>
          <w:szCs w:val="20"/>
        </w:rPr>
      </w:pPr>
      <w:r w:rsidRPr="00717E5B">
        <w:rPr>
          <w:rFonts w:ascii="Book Antiqua" w:hAnsi="Book Antiqua"/>
          <w:b/>
          <w:bCs/>
          <w:sz w:val="20"/>
          <w:szCs w:val="20"/>
        </w:rPr>
        <w:t xml:space="preserve">Principio democrático y dignidad de la persona </w:t>
      </w:r>
    </w:p>
    <w:p w14:paraId="204C5025" w14:textId="77777777" w:rsidR="00377ECB" w:rsidRPr="00377ECB" w:rsidRDefault="00377ECB" w:rsidP="00377ECB">
      <w:pPr>
        <w:spacing w:line="240" w:lineRule="auto"/>
        <w:jc w:val="both"/>
        <w:rPr>
          <w:rFonts w:ascii="Book Antiqua" w:hAnsi="Book Antiqua"/>
          <w:sz w:val="20"/>
          <w:szCs w:val="20"/>
        </w:rPr>
      </w:pPr>
      <w:r w:rsidRPr="00717E5B">
        <w:rPr>
          <w:rFonts w:ascii="Book Antiqua" w:hAnsi="Book Antiqua"/>
          <w:b/>
          <w:bCs/>
          <w:sz w:val="20"/>
          <w:szCs w:val="20"/>
        </w:rPr>
        <w:t>Vigésimo segundo. -</w:t>
      </w:r>
      <w:r w:rsidRPr="00377ECB">
        <w:rPr>
          <w:rFonts w:ascii="Book Antiqua" w:hAnsi="Book Antiqua"/>
          <w:sz w:val="20"/>
          <w:szCs w:val="20"/>
        </w:rPr>
        <w:t xml:space="preserve"> El segundo motivo casacional tiene relación con la interpretación del tipo penal de inducción al voto, en particular, respecto del elemento temporal que aparece en el delito en cuestión, de cara a la puesta en peligro del bien jurídico tutelado; esto es, salvaguarda del principio de afectación al bien jurídico protegido, contenido en el artículo IV del Título Preliminar del Código Penal.</w:t>
      </w:r>
    </w:p>
    <w:p w14:paraId="2AAB5FB4" w14:textId="77777777" w:rsidR="00377ECB" w:rsidRPr="00377ECB" w:rsidRDefault="00377ECB" w:rsidP="00377ECB">
      <w:pPr>
        <w:spacing w:line="240" w:lineRule="auto"/>
        <w:jc w:val="both"/>
        <w:rPr>
          <w:rFonts w:ascii="Book Antiqua" w:hAnsi="Book Antiqua"/>
          <w:sz w:val="20"/>
          <w:szCs w:val="20"/>
        </w:rPr>
      </w:pPr>
      <w:r w:rsidRPr="00377ECB">
        <w:rPr>
          <w:rFonts w:ascii="Book Antiqua" w:hAnsi="Book Antiqua"/>
          <w:sz w:val="20"/>
          <w:szCs w:val="20"/>
        </w:rPr>
        <w:t>La libre elección de los representantes es la máxima expresión de libertad del ciudadano y uno de los pilares del sistema democrático. Así lo ha reconocido el Tribunal Constitucional:</w:t>
      </w:r>
    </w:p>
    <w:p w14:paraId="458AA9E5" w14:textId="1AFFDBFF" w:rsidR="00377ECB" w:rsidRPr="00377ECB" w:rsidRDefault="00377ECB" w:rsidP="00C55C7F">
      <w:pPr>
        <w:spacing w:line="240" w:lineRule="auto"/>
        <w:ind w:left="708"/>
        <w:jc w:val="both"/>
        <w:rPr>
          <w:rFonts w:ascii="Book Antiqua" w:hAnsi="Book Antiqua"/>
          <w:sz w:val="20"/>
          <w:szCs w:val="20"/>
        </w:rPr>
      </w:pPr>
      <w:r w:rsidRPr="00377ECB">
        <w:rPr>
          <w:rFonts w:ascii="Book Antiqua" w:hAnsi="Book Antiqua"/>
          <w:sz w:val="20"/>
          <w:szCs w:val="20"/>
        </w:rPr>
        <w:t xml:space="preserve">“La </w:t>
      </w:r>
      <w:r w:rsidR="00B0104F">
        <w:rPr>
          <w:rFonts w:ascii="Book Antiqua" w:hAnsi="Book Antiqua"/>
          <w:sz w:val="20"/>
          <w:szCs w:val="20"/>
        </w:rPr>
        <w:t>democracia</w:t>
      </w:r>
      <w:r w:rsidRPr="00377ECB">
        <w:rPr>
          <w:rFonts w:ascii="Book Antiqua" w:hAnsi="Book Antiqua"/>
          <w:sz w:val="20"/>
          <w:szCs w:val="20"/>
        </w:rPr>
        <w:t xml:space="preserve"> se fundament</w:t>
      </w:r>
      <w:r w:rsidR="00B0104F">
        <w:rPr>
          <w:rFonts w:ascii="Book Antiqua" w:hAnsi="Book Antiqua"/>
          <w:sz w:val="20"/>
          <w:szCs w:val="20"/>
        </w:rPr>
        <w:t xml:space="preserve">a </w:t>
      </w:r>
      <w:r w:rsidRPr="00377ECB">
        <w:rPr>
          <w:rFonts w:ascii="Book Antiqua" w:hAnsi="Book Antiqua"/>
          <w:sz w:val="20"/>
          <w:szCs w:val="20"/>
        </w:rPr>
        <w:t>pues, en la aceptación de que la persona humana y su dignidad son el inicio y el fin del Estado (artículo 1° de la Constitución), por lo que su participación en la formación de la voluntad político-estatal es presupuesto indispensable para garantizar el máximo respeto a la totalidad de sus derechos constitucionales.</w:t>
      </w:r>
    </w:p>
    <w:p w14:paraId="7CEEAFA9" w14:textId="1BF6AF3C" w:rsidR="00377ECB" w:rsidRPr="00E13425" w:rsidRDefault="00377ECB" w:rsidP="007A035F">
      <w:pPr>
        <w:spacing w:line="240" w:lineRule="auto"/>
        <w:ind w:left="708"/>
        <w:jc w:val="both"/>
        <w:rPr>
          <w:rFonts w:ascii="Book Antiqua" w:hAnsi="Book Antiqua"/>
          <w:sz w:val="20"/>
          <w:szCs w:val="20"/>
          <w:highlight w:val="yellow"/>
        </w:rPr>
      </w:pPr>
      <w:r w:rsidRPr="00377ECB">
        <w:rPr>
          <w:rFonts w:ascii="Book Antiqua" w:hAnsi="Book Antiqua"/>
          <w:sz w:val="20"/>
          <w:szCs w:val="20"/>
        </w:rPr>
        <w:t xml:space="preserve">Consustancial a tal cometido es el reconocimiento de un gobierno representativo (artículo </w:t>
      </w:r>
      <w:r w:rsidR="00C55C7F">
        <w:rPr>
          <w:rFonts w:ascii="Book Antiqua" w:hAnsi="Book Antiqua"/>
          <w:sz w:val="20"/>
          <w:szCs w:val="20"/>
        </w:rPr>
        <w:t xml:space="preserve"> </w:t>
      </w:r>
      <w:r w:rsidRPr="00377ECB">
        <w:rPr>
          <w:rFonts w:ascii="Book Antiqua" w:hAnsi="Book Antiqua"/>
          <w:sz w:val="20"/>
          <w:szCs w:val="20"/>
        </w:rPr>
        <w:t>45</w:t>
      </w:r>
      <w:r w:rsidR="00B94157">
        <w:rPr>
          <w:rFonts w:ascii="Book Antiqua" w:hAnsi="Book Antiqua"/>
          <w:sz w:val="20"/>
          <w:szCs w:val="20"/>
        </w:rPr>
        <w:t>°</w:t>
      </w:r>
      <w:r w:rsidRPr="00377ECB">
        <w:rPr>
          <w:rFonts w:ascii="Book Antiqua" w:hAnsi="Book Antiqua"/>
          <w:sz w:val="20"/>
          <w:szCs w:val="20"/>
        </w:rPr>
        <w:t xml:space="preserve"> de la Constitución) y del principio de separación  de  poderes  (artículo  43</w:t>
      </w:r>
      <w:r w:rsidR="00B94157">
        <w:rPr>
          <w:rFonts w:ascii="Book Antiqua" w:hAnsi="Book Antiqua"/>
          <w:sz w:val="20"/>
          <w:szCs w:val="20"/>
        </w:rPr>
        <w:t>°</w:t>
      </w:r>
      <w:r w:rsidRPr="00377ECB">
        <w:rPr>
          <w:rFonts w:ascii="Book Antiqua" w:hAnsi="Book Antiqua"/>
          <w:sz w:val="20"/>
          <w:szCs w:val="20"/>
        </w:rPr>
        <w:t xml:space="preserve">  de la Constitución), de mecanismos de  democracia    directa   (artículo  31</w:t>
      </w:r>
      <w:r w:rsidR="00B94157">
        <w:rPr>
          <w:rFonts w:ascii="Book Antiqua" w:hAnsi="Book Antiqua"/>
          <w:sz w:val="20"/>
          <w:szCs w:val="20"/>
        </w:rPr>
        <w:t>°</w:t>
      </w:r>
      <w:r w:rsidRPr="00377ECB">
        <w:rPr>
          <w:rFonts w:ascii="Book Antiqua" w:hAnsi="Book Antiqua"/>
          <w:sz w:val="20"/>
          <w:szCs w:val="20"/>
        </w:rPr>
        <w:t xml:space="preserve">   de      la </w:t>
      </w:r>
      <w:r w:rsidRPr="007A035F">
        <w:rPr>
          <w:rFonts w:ascii="Book Antiqua" w:hAnsi="Book Antiqua"/>
          <w:sz w:val="20"/>
          <w:szCs w:val="20"/>
        </w:rPr>
        <w:t>Constitución),  de organizaciones políticas (artículo 35</w:t>
      </w:r>
      <w:r w:rsidR="00B94157" w:rsidRPr="007A035F">
        <w:rPr>
          <w:rFonts w:ascii="Book Antiqua" w:hAnsi="Book Antiqua"/>
          <w:sz w:val="20"/>
          <w:szCs w:val="20"/>
        </w:rPr>
        <w:t>°</w:t>
      </w:r>
      <w:r w:rsidRPr="007A035F">
        <w:rPr>
          <w:rFonts w:ascii="Book Antiqua" w:hAnsi="Book Antiqua"/>
          <w:sz w:val="20"/>
          <w:szCs w:val="20"/>
        </w:rPr>
        <w:t xml:space="preserve"> de la Constitución),  del  principio  de  alternancia   en   el   poder y de tolerancia;   así  como   de  una  serie  de   derechos    </w:t>
      </w:r>
      <w:r w:rsidRPr="007A035F">
        <w:rPr>
          <w:rFonts w:ascii="Book Antiqua" w:hAnsi="Book Antiqua"/>
          <w:sz w:val="20"/>
          <w:szCs w:val="20"/>
        </w:rPr>
        <w:lastRenderedPageBreak/>
        <w:t>fundamentales cuya  vinculación  directa  con  la  consolidación  y   estabilidad    de    una sociedad democrática hace de ellos, a su vez, garantías institucionales de ésta. Entre éstos se encuentran los denominados derechos  políticos,  enumerados  en  los  artículos  2</w:t>
      </w:r>
      <w:r w:rsidR="007A035F" w:rsidRPr="007A035F">
        <w:rPr>
          <w:rFonts w:ascii="Book Antiqua" w:hAnsi="Book Antiqua"/>
          <w:sz w:val="20"/>
          <w:szCs w:val="20"/>
        </w:rPr>
        <w:t>°</w:t>
      </w:r>
      <w:r w:rsidRPr="007A035F">
        <w:rPr>
          <w:rFonts w:ascii="Book Antiqua" w:hAnsi="Book Antiqua"/>
          <w:sz w:val="20"/>
          <w:szCs w:val="20"/>
        </w:rPr>
        <w:t>,  inciso  17 y  30</w:t>
      </w:r>
      <w:r w:rsidR="007A035F" w:rsidRPr="007A035F">
        <w:rPr>
          <w:rFonts w:ascii="Book Antiqua" w:hAnsi="Book Antiqua"/>
          <w:sz w:val="20"/>
          <w:szCs w:val="20"/>
        </w:rPr>
        <w:t>°</w:t>
      </w:r>
      <w:r w:rsidRPr="007A035F">
        <w:rPr>
          <w:rFonts w:ascii="Book Antiqua" w:hAnsi="Book Antiqua"/>
          <w:sz w:val="20"/>
          <w:szCs w:val="20"/>
        </w:rPr>
        <w:t xml:space="preserve">  a</w:t>
      </w:r>
      <w:r w:rsidR="007A035F" w:rsidRPr="007A035F">
        <w:rPr>
          <w:rFonts w:ascii="Book Antiqua" w:hAnsi="Book Antiqua"/>
          <w:sz w:val="20"/>
          <w:szCs w:val="20"/>
        </w:rPr>
        <w:t xml:space="preserve"> </w:t>
      </w:r>
      <w:r w:rsidRPr="007A035F">
        <w:rPr>
          <w:rFonts w:ascii="Book Antiqua" w:hAnsi="Book Antiqua"/>
          <w:sz w:val="20"/>
          <w:szCs w:val="20"/>
        </w:rPr>
        <w:t>35</w:t>
      </w:r>
      <w:r w:rsidR="00EE1A7C" w:rsidRPr="007A035F">
        <w:rPr>
          <w:rFonts w:ascii="Book Antiqua" w:hAnsi="Book Antiqua"/>
          <w:sz w:val="20"/>
          <w:szCs w:val="20"/>
        </w:rPr>
        <w:t>°</w:t>
      </w:r>
      <w:r w:rsidRPr="007A035F">
        <w:rPr>
          <w:rFonts w:ascii="Book Antiqua" w:hAnsi="Book Antiqua"/>
          <w:sz w:val="20"/>
          <w:szCs w:val="20"/>
        </w:rPr>
        <w:t xml:space="preserve"> (entre ellos destaca, de modo singular, el derecho de los ciudadanos  a  ser   elegidos y de elegir libremente a sus representantes, de acuerdo con las condiciones y procedimientos determinados por ley orgánica), los derechos a las libertades de información,  opinión,  expresión  y   difusión   del pensamiento mediante la palabra   oral o escrita   o   la   imagen   (artículo  2</w:t>
      </w:r>
      <w:r w:rsidR="007A035F" w:rsidRPr="007A035F">
        <w:rPr>
          <w:rFonts w:ascii="Book Antiqua" w:hAnsi="Book Antiqua"/>
          <w:sz w:val="20"/>
          <w:szCs w:val="20"/>
        </w:rPr>
        <w:t>°</w:t>
      </w:r>
      <w:r w:rsidRPr="007A035F">
        <w:rPr>
          <w:rFonts w:ascii="Book Antiqua" w:hAnsi="Book Antiqua"/>
          <w:sz w:val="20"/>
          <w:szCs w:val="20"/>
        </w:rPr>
        <w:t>, inciso 4), de  acceso  a  la información pública (artículo 2</w:t>
      </w:r>
      <w:r w:rsidR="007A035F" w:rsidRPr="007A035F">
        <w:rPr>
          <w:rFonts w:ascii="Book Antiqua" w:hAnsi="Book Antiqua"/>
          <w:sz w:val="20"/>
          <w:szCs w:val="20"/>
        </w:rPr>
        <w:t>°</w:t>
      </w:r>
      <w:r w:rsidRPr="007A035F">
        <w:rPr>
          <w:rFonts w:ascii="Book Antiqua" w:hAnsi="Book Antiqua"/>
          <w:sz w:val="20"/>
          <w:szCs w:val="20"/>
        </w:rPr>
        <w:t xml:space="preserve"> inciso 5), de reunión (artículo 2</w:t>
      </w:r>
      <w:r w:rsidR="007A035F" w:rsidRPr="007A035F">
        <w:rPr>
          <w:rFonts w:ascii="Book Antiqua" w:hAnsi="Book Antiqua"/>
          <w:sz w:val="20"/>
          <w:szCs w:val="20"/>
        </w:rPr>
        <w:t>°</w:t>
      </w:r>
      <w:r w:rsidRPr="007A035F">
        <w:rPr>
          <w:rFonts w:ascii="Book Antiqua" w:hAnsi="Book Antiqua"/>
          <w:sz w:val="20"/>
          <w:szCs w:val="20"/>
        </w:rPr>
        <w:t>,   inciso 12) y  de  asociación  (artículo   2</w:t>
      </w:r>
      <w:r w:rsidR="007A035F" w:rsidRPr="007A035F">
        <w:rPr>
          <w:rFonts w:ascii="Book Antiqua" w:hAnsi="Book Antiqua"/>
          <w:sz w:val="20"/>
          <w:szCs w:val="20"/>
        </w:rPr>
        <w:t>°</w:t>
      </w:r>
      <w:r w:rsidRPr="007A035F">
        <w:rPr>
          <w:rFonts w:ascii="Book Antiqua" w:hAnsi="Book Antiqua"/>
          <w:sz w:val="20"/>
          <w:szCs w:val="20"/>
        </w:rPr>
        <w:t xml:space="preserve">,  inciso 13). </w:t>
      </w:r>
    </w:p>
    <w:p w14:paraId="6BD5E459" w14:textId="16E05951" w:rsidR="00377ECB" w:rsidRPr="00592D6A" w:rsidRDefault="00592D6A" w:rsidP="00EE1A7C">
      <w:pPr>
        <w:spacing w:line="240" w:lineRule="auto"/>
        <w:ind w:left="708"/>
        <w:jc w:val="both"/>
        <w:rPr>
          <w:rFonts w:ascii="Book Antiqua" w:hAnsi="Book Antiqua"/>
          <w:sz w:val="20"/>
          <w:szCs w:val="20"/>
        </w:rPr>
      </w:pPr>
      <w:r w:rsidRPr="00592D6A">
        <w:rPr>
          <w:rFonts w:ascii="Book Antiqua" w:hAnsi="Book Antiqua"/>
          <w:sz w:val="20"/>
          <w:szCs w:val="20"/>
        </w:rPr>
        <w:t>Una sociedad</w:t>
      </w:r>
      <w:r w:rsidR="00377ECB" w:rsidRPr="00592D6A">
        <w:rPr>
          <w:rFonts w:ascii="Book Antiqua" w:hAnsi="Book Antiqua"/>
          <w:sz w:val="20"/>
          <w:szCs w:val="20"/>
        </w:rPr>
        <w:t xml:space="preserve">   en   </w:t>
      </w:r>
      <w:r w:rsidRPr="00592D6A">
        <w:rPr>
          <w:rFonts w:ascii="Book Antiqua" w:hAnsi="Book Antiqua"/>
          <w:sz w:val="20"/>
          <w:szCs w:val="20"/>
        </w:rPr>
        <w:t>la que</w:t>
      </w:r>
      <w:r w:rsidR="00377ECB" w:rsidRPr="00592D6A">
        <w:rPr>
          <w:rFonts w:ascii="Book Antiqua" w:hAnsi="Book Antiqua"/>
          <w:sz w:val="20"/>
          <w:szCs w:val="20"/>
        </w:rPr>
        <w:t xml:space="preserve"> no se encuentren plenamente </w:t>
      </w:r>
      <w:r w:rsidRPr="00592D6A">
        <w:rPr>
          <w:rFonts w:ascii="Book Antiqua" w:hAnsi="Book Antiqua"/>
          <w:sz w:val="20"/>
          <w:szCs w:val="20"/>
        </w:rPr>
        <w:t>garantizados estos derechos, sencillamente, o</w:t>
      </w:r>
      <w:r w:rsidR="00377ECB" w:rsidRPr="00592D6A">
        <w:rPr>
          <w:rFonts w:ascii="Book Antiqua" w:hAnsi="Book Antiqua"/>
          <w:sz w:val="20"/>
          <w:szCs w:val="20"/>
        </w:rPr>
        <w:t xml:space="preserve"> no es una comunidad democrática, o su democracia, por incipiente y debilitada, se encuentra, por así decirlo, "herida de muerte" </w:t>
      </w:r>
    </w:p>
    <w:p w14:paraId="07A61136" w14:textId="427EF5B0" w:rsidR="00377ECB" w:rsidRPr="00592D6A" w:rsidRDefault="00377ECB" w:rsidP="00EE1A7C">
      <w:pPr>
        <w:spacing w:line="240" w:lineRule="auto"/>
        <w:ind w:left="708"/>
        <w:jc w:val="both"/>
        <w:rPr>
          <w:rFonts w:ascii="Book Antiqua" w:hAnsi="Book Antiqua"/>
          <w:sz w:val="20"/>
          <w:szCs w:val="20"/>
        </w:rPr>
      </w:pPr>
      <w:r w:rsidRPr="00592D6A">
        <w:rPr>
          <w:rFonts w:ascii="Book Antiqua" w:hAnsi="Book Antiqua"/>
          <w:sz w:val="20"/>
          <w:szCs w:val="20"/>
        </w:rPr>
        <w:t xml:space="preserve">23. </w:t>
      </w:r>
      <w:r w:rsidR="00592D6A" w:rsidRPr="00592D6A">
        <w:rPr>
          <w:rFonts w:ascii="Book Antiqua" w:hAnsi="Book Antiqua"/>
          <w:sz w:val="20"/>
          <w:szCs w:val="20"/>
        </w:rPr>
        <w:t xml:space="preserve">Así </w:t>
      </w:r>
      <w:r w:rsidRPr="00592D6A">
        <w:rPr>
          <w:rFonts w:ascii="Book Antiqua" w:hAnsi="Book Antiqua"/>
          <w:sz w:val="20"/>
          <w:szCs w:val="20"/>
        </w:rPr>
        <w:t>pues, el principio democrático se materializa a través de participación directa, individual o colectiva, de la persona como titular de una suma de derechos de dimensión tanto subjetiva como institucional (derecho de voto, referéndum, iniciativa legislativa, remoción, o revocación de autoridades, demanda de rendición de cuentas, expresión, reunión, etc.), así como en su participación asociada, a través de organizaciones orientadas a canalizar el pluralismo político. Tales organizaciones son los partidos y movimientos políticos, reconocidos en el artículo 35</w:t>
      </w:r>
      <w:r w:rsidR="00592D6A" w:rsidRPr="00592D6A">
        <w:rPr>
          <w:rFonts w:ascii="Book Antiqua" w:hAnsi="Book Antiqua"/>
          <w:sz w:val="20"/>
          <w:szCs w:val="20"/>
        </w:rPr>
        <w:t>°</w:t>
      </w:r>
      <w:r w:rsidRPr="00592D6A">
        <w:rPr>
          <w:rFonts w:ascii="Book Antiqua" w:hAnsi="Book Antiqua"/>
          <w:sz w:val="20"/>
          <w:szCs w:val="20"/>
        </w:rPr>
        <w:t xml:space="preserve"> de la Constitución. </w:t>
      </w:r>
    </w:p>
    <w:p w14:paraId="08EF073B" w14:textId="36B9E453" w:rsidR="00377ECB" w:rsidRPr="00592D6A" w:rsidRDefault="00377ECB" w:rsidP="00EE1A7C">
      <w:pPr>
        <w:spacing w:line="240" w:lineRule="auto"/>
        <w:ind w:left="708"/>
        <w:jc w:val="both"/>
        <w:rPr>
          <w:rFonts w:ascii="Book Antiqua" w:hAnsi="Book Antiqua"/>
          <w:sz w:val="20"/>
          <w:szCs w:val="20"/>
        </w:rPr>
      </w:pPr>
      <w:r w:rsidRPr="00592D6A">
        <w:rPr>
          <w:rFonts w:ascii="Book Antiqua" w:hAnsi="Book Antiqua"/>
          <w:sz w:val="20"/>
          <w:szCs w:val="20"/>
        </w:rPr>
        <w:t>Asimismo, el referido principio se materializa en la participación política indirecta de la ciudadanía; es decir, a través de sus representantes libremente elegidos. La democracia representativa es —como quedó dicho— el rasgo prevalente en nuestra Constitución</w:t>
      </w:r>
      <w:r w:rsidR="00E81EC1">
        <w:rPr>
          <w:rFonts w:ascii="Book Antiqua" w:hAnsi="Book Antiqua"/>
          <w:sz w:val="20"/>
          <w:szCs w:val="20"/>
        </w:rPr>
        <w:t>.</w:t>
      </w:r>
      <w:r w:rsidRPr="00592D6A">
        <w:rPr>
          <w:rFonts w:ascii="Book Antiqua" w:hAnsi="Book Antiqua"/>
          <w:sz w:val="20"/>
          <w:szCs w:val="20"/>
        </w:rPr>
        <w:t xml:space="preserve"> </w:t>
      </w:r>
      <w:r w:rsidR="00E81EC1">
        <w:rPr>
          <w:rFonts w:ascii="Book Antiqua" w:hAnsi="Book Antiqua"/>
          <w:sz w:val="20"/>
          <w:szCs w:val="20"/>
        </w:rPr>
        <w:t>“</w:t>
      </w:r>
      <w:r w:rsidR="00592D6A" w:rsidRPr="00592D6A">
        <w:rPr>
          <w:rStyle w:val="Refdenotaalpie"/>
          <w:rFonts w:ascii="Book Antiqua" w:hAnsi="Book Antiqua"/>
          <w:sz w:val="20"/>
          <w:szCs w:val="20"/>
        </w:rPr>
        <w:footnoteReference w:id="2"/>
      </w:r>
    </w:p>
    <w:p w14:paraId="54F52844" w14:textId="77777777" w:rsidR="00377ECB" w:rsidRPr="00592D6A" w:rsidRDefault="00377ECB" w:rsidP="00592D6A">
      <w:pPr>
        <w:spacing w:line="240" w:lineRule="auto"/>
        <w:jc w:val="both"/>
        <w:rPr>
          <w:rFonts w:ascii="Book Antiqua" w:hAnsi="Book Antiqua"/>
          <w:b/>
          <w:bCs/>
          <w:sz w:val="20"/>
          <w:szCs w:val="20"/>
        </w:rPr>
      </w:pPr>
      <w:r w:rsidRPr="00592D6A">
        <w:rPr>
          <w:rFonts w:ascii="Book Antiqua" w:hAnsi="Book Antiqua"/>
          <w:b/>
          <w:bCs/>
          <w:sz w:val="20"/>
          <w:szCs w:val="20"/>
        </w:rPr>
        <w:t>Alcances típicos del delito de inducción al voto</w:t>
      </w:r>
    </w:p>
    <w:p w14:paraId="79CA0E52" w14:textId="77C5F172" w:rsidR="00377ECB" w:rsidRPr="00592D6A" w:rsidRDefault="00377ECB" w:rsidP="00377ECB">
      <w:pPr>
        <w:spacing w:line="240" w:lineRule="auto"/>
        <w:jc w:val="both"/>
        <w:rPr>
          <w:rFonts w:ascii="Book Antiqua" w:hAnsi="Book Antiqua"/>
          <w:sz w:val="20"/>
          <w:szCs w:val="20"/>
        </w:rPr>
      </w:pPr>
      <w:r w:rsidRPr="00592D6A">
        <w:rPr>
          <w:rFonts w:ascii="Book Antiqua" w:hAnsi="Book Antiqua"/>
          <w:b/>
          <w:bCs/>
          <w:sz w:val="20"/>
          <w:szCs w:val="20"/>
        </w:rPr>
        <w:t xml:space="preserve">Vigésimo tercero. </w:t>
      </w:r>
      <w:r w:rsidRPr="00592D6A">
        <w:rPr>
          <w:rFonts w:ascii="Book Antiqua" w:hAnsi="Book Antiqua"/>
          <w:sz w:val="20"/>
          <w:szCs w:val="20"/>
        </w:rPr>
        <w:t xml:space="preserve">- Ahora bien, para la consolidación del principio democrático, mediante la participación igualitaria y libre de los ciudadanos, el Estado ha estimado fundamental recurrir al derecho penal, como máximo y más severo instrumento de control social. Así, se ha </w:t>
      </w:r>
      <w:proofErr w:type="gramStart"/>
      <w:r w:rsidRPr="00592D6A">
        <w:rPr>
          <w:rFonts w:ascii="Book Antiqua" w:hAnsi="Book Antiqua"/>
          <w:sz w:val="20"/>
          <w:szCs w:val="20"/>
        </w:rPr>
        <w:t>previsto  en</w:t>
      </w:r>
      <w:proofErr w:type="gramEnd"/>
      <w:r w:rsidRPr="00592D6A">
        <w:rPr>
          <w:rFonts w:ascii="Book Antiqua" w:hAnsi="Book Antiqua"/>
          <w:sz w:val="20"/>
          <w:szCs w:val="20"/>
        </w:rPr>
        <w:t xml:space="preserve">  el  Código  Penal,  Título XVII,  una  serie  de  delitos  contra  la</w:t>
      </w:r>
      <w:r w:rsidR="00592D6A" w:rsidRPr="00592D6A">
        <w:rPr>
          <w:rFonts w:ascii="Book Antiqua" w:hAnsi="Book Antiqua"/>
          <w:sz w:val="20"/>
          <w:szCs w:val="20"/>
        </w:rPr>
        <w:t xml:space="preserve"> </w:t>
      </w:r>
      <w:r w:rsidRPr="00592D6A">
        <w:rPr>
          <w:rFonts w:ascii="Book Antiqua" w:hAnsi="Book Antiqua"/>
          <w:sz w:val="20"/>
          <w:szCs w:val="20"/>
        </w:rPr>
        <w:t xml:space="preserve">Voluntad Popular y en un </w:t>
      </w:r>
      <w:r w:rsidR="00592D6A" w:rsidRPr="00592D6A">
        <w:rPr>
          <w:rFonts w:ascii="Book Antiqua" w:hAnsi="Book Antiqua"/>
          <w:sz w:val="20"/>
          <w:szCs w:val="20"/>
        </w:rPr>
        <w:t>Capítulo</w:t>
      </w:r>
      <w:r w:rsidRPr="00592D6A">
        <w:rPr>
          <w:rFonts w:ascii="Book Antiqua" w:hAnsi="Book Antiqua"/>
          <w:sz w:val="20"/>
          <w:szCs w:val="20"/>
        </w:rPr>
        <w:t xml:space="preserve"> Único, Delitos contra el Derecho al Sufragio. Uno de los tipos penales es el referido a la inducción al voto, cuyo texto es el siguiente:</w:t>
      </w:r>
    </w:p>
    <w:p w14:paraId="579461CA" w14:textId="77777777" w:rsidR="00377ECB" w:rsidRPr="00C066A0" w:rsidRDefault="00377ECB" w:rsidP="00592D6A">
      <w:pPr>
        <w:spacing w:line="240" w:lineRule="auto"/>
        <w:ind w:firstLine="708"/>
        <w:jc w:val="both"/>
        <w:rPr>
          <w:rFonts w:ascii="Book Antiqua" w:hAnsi="Book Antiqua"/>
          <w:sz w:val="20"/>
          <w:szCs w:val="20"/>
        </w:rPr>
      </w:pPr>
      <w:r w:rsidRPr="00C066A0">
        <w:rPr>
          <w:rFonts w:ascii="Book Antiqua" w:hAnsi="Book Antiqua"/>
          <w:sz w:val="20"/>
          <w:szCs w:val="20"/>
        </w:rPr>
        <w:t>"Artículo 356.- Inducción a no votar o a hacerlo en sentido determinado</w:t>
      </w:r>
    </w:p>
    <w:p w14:paraId="727861EA" w14:textId="0F6B20FE" w:rsidR="00377ECB" w:rsidRPr="00C066A0" w:rsidRDefault="00377ECB" w:rsidP="00592D6A">
      <w:pPr>
        <w:spacing w:line="240" w:lineRule="auto"/>
        <w:ind w:left="708"/>
        <w:jc w:val="both"/>
        <w:rPr>
          <w:rFonts w:ascii="Book Antiqua" w:hAnsi="Book Antiqua"/>
          <w:sz w:val="20"/>
          <w:szCs w:val="20"/>
        </w:rPr>
      </w:pPr>
      <w:r w:rsidRPr="00C066A0">
        <w:rPr>
          <w:rFonts w:ascii="Book Antiqua" w:hAnsi="Book Antiqua"/>
          <w:sz w:val="20"/>
          <w:szCs w:val="20"/>
        </w:rPr>
        <w:t xml:space="preserve">El que, mediante dádivas, ventajas o promesas trata de inducir a un elector a no votar o a votar en un sentido determinado, será reprimido con pena privativa de libertad no menor de </w:t>
      </w:r>
      <w:r w:rsidR="00C066A0" w:rsidRPr="00C066A0">
        <w:rPr>
          <w:rFonts w:ascii="Book Antiqua" w:hAnsi="Book Antiqua"/>
          <w:sz w:val="20"/>
          <w:szCs w:val="20"/>
        </w:rPr>
        <w:t xml:space="preserve">uno </w:t>
      </w:r>
      <w:r w:rsidRPr="00C066A0">
        <w:rPr>
          <w:rFonts w:ascii="Book Antiqua" w:hAnsi="Book Antiqua"/>
          <w:sz w:val="20"/>
          <w:szCs w:val="20"/>
        </w:rPr>
        <w:t xml:space="preserve">ni mayor de cuatro años" </w:t>
      </w:r>
    </w:p>
    <w:p w14:paraId="0F513E8E" w14:textId="77777777" w:rsidR="00377ECB" w:rsidRPr="00C066A0" w:rsidRDefault="00377ECB" w:rsidP="00377ECB">
      <w:pPr>
        <w:spacing w:line="240" w:lineRule="auto"/>
        <w:jc w:val="both"/>
        <w:rPr>
          <w:rFonts w:ascii="Book Antiqua" w:hAnsi="Book Antiqua"/>
          <w:sz w:val="20"/>
          <w:szCs w:val="20"/>
        </w:rPr>
      </w:pPr>
      <w:r w:rsidRPr="00C066A0">
        <w:rPr>
          <w:rFonts w:ascii="Book Antiqua" w:hAnsi="Book Antiqua"/>
          <w:b/>
          <w:bCs/>
          <w:sz w:val="20"/>
          <w:szCs w:val="20"/>
        </w:rPr>
        <w:t>Vigésimo cuarto.</w:t>
      </w:r>
      <w:r w:rsidRPr="00C066A0">
        <w:rPr>
          <w:rFonts w:ascii="Book Antiqua" w:hAnsi="Book Antiqua"/>
          <w:sz w:val="20"/>
          <w:szCs w:val="20"/>
        </w:rPr>
        <w:t xml:space="preserve"> - El tipo penal mencionado presenta las siguientes características típicas:</w:t>
      </w:r>
    </w:p>
    <w:p w14:paraId="3AD97A78" w14:textId="1244B994" w:rsidR="00377ECB" w:rsidRPr="00C066A0" w:rsidRDefault="00377ECB" w:rsidP="00377ECB">
      <w:pPr>
        <w:spacing w:line="240" w:lineRule="auto"/>
        <w:jc w:val="both"/>
        <w:rPr>
          <w:rFonts w:ascii="Book Antiqua" w:hAnsi="Book Antiqua"/>
          <w:sz w:val="20"/>
          <w:szCs w:val="20"/>
        </w:rPr>
      </w:pPr>
      <w:r w:rsidRPr="00C066A0">
        <w:rPr>
          <w:rFonts w:ascii="Book Antiqua" w:hAnsi="Book Antiqua"/>
          <w:sz w:val="20"/>
          <w:szCs w:val="20"/>
        </w:rPr>
        <w:t>a.</w:t>
      </w:r>
      <w:r w:rsidRPr="00C066A0">
        <w:rPr>
          <w:rFonts w:ascii="Book Antiqua" w:hAnsi="Book Antiqua"/>
          <w:sz w:val="20"/>
          <w:szCs w:val="20"/>
        </w:rPr>
        <w:tab/>
      </w:r>
      <w:r w:rsidR="00C066A0" w:rsidRPr="00C066A0">
        <w:rPr>
          <w:rFonts w:ascii="Book Antiqua" w:hAnsi="Book Antiqua"/>
          <w:sz w:val="20"/>
          <w:szCs w:val="20"/>
        </w:rPr>
        <w:t>El sujeto</w:t>
      </w:r>
      <w:r w:rsidRPr="00C066A0">
        <w:rPr>
          <w:rFonts w:ascii="Book Antiqua" w:hAnsi="Book Antiqua"/>
          <w:sz w:val="20"/>
          <w:szCs w:val="20"/>
        </w:rPr>
        <w:t xml:space="preserve"> activo es designado mediante la locución pronominal "El que" por lo que puede ser cualquiera, Se trata de un delito común y de organización. No se requiere por tanto ninguna cualidad particular.</w:t>
      </w:r>
    </w:p>
    <w:p w14:paraId="443C1FDD" w14:textId="6DA68098" w:rsidR="00377ECB" w:rsidRPr="00C066A0" w:rsidRDefault="00377ECB" w:rsidP="00377ECB">
      <w:pPr>
        <w:spacing w:line="240" w:lineRule="auto"/>
        <w:jc w:val="both"/>
        <w:rPr>
          <w:rFonts w:ascii="Book Antiqua" w:hAnsi="Book Antiqua"/>
          <w:sz w:val="20"/>
          <w:szCs w:val="20"/>
        </w:rPr>
      </w:pPr>
      <w:r w:rsidRPr="00C066A0">
        <w:rPr>
          <w:rFonts w:ascii="Book Antiqua" w:hAnsi="Book Antiqua"/>
          <w:sz w:val="20"/>
          <w:szCs w:val="20"/>
        </w:rPr>
        <w:t>b.</w:t>
      </w:r>
      <w:r w:rsidRPr="00C066A0">
        <w:rPr>
          <w:rFonts w:ascii="Book Antiqua" w:hAnsi="Book Antiqua"/>
          <w:sz w:val="20"/>
          <w:szCs w:val="20"/>
        </w:rPr>
        <w:tab/>
        <w:t>El sujeto pasivo es la sociedad que, en el ámbito electoral, está representada por toda la comunidad política de ciudadanos. Estos tienen la expectativa que la elección de sus autoridades, nacionales, regionales, municipales o sus representantes dentro de las organizaciones políticas, sean la directa, transparente, igual y libre expresión de la voluntad popular;</w:t>
      </w:r>
    </w:p>
    <w:p w14:paraId="27A0343E" w14:textId="77777777" w:rsidR="00C066A0" w:rsidRPr="00C066A0" w:rsidRDefault="00C066A0" w:rsidP="00377ECB">
      <w:pPr>
        <w:spacing w:line="240" w:lineRule="auto"/>
        <w:jc w:val="both"/>
        <w:rPr>
          <w:rFonts w:ascii="Book Antiqua" w:hAnsi="Book Antiqua"/>
          <w:sz w:val="20"/>
          <w:szCs w:val="20"/>
        </w:rPr>
      </w:pPr>
    </w:p>
    <w:p w14:paraId="519F4C0F" w14:textId="1808E13A" w:rsidR="00377ECB" w:rsidRPr="00C066A0" w:rsidRDefault="00377ECB" w:rsidP="00377ECB">
      <w:pPr>
        <w:spacing w:line="240" w:lineRule="auto"/>
        <w:jc w:val="both"/>
        <w:rPr>
          <w:rFonts w:ascii="Book Antiqua" w:hAnsi="Book Antiqua"/>
          <w:sz w:val="20"/>
          <w:szCs w:val="20"/>
        </w:rPr>
      </w:pPr>
      <w:r w:rsidRPr="00C066A0">
        <w:rPr>
          <w:rFonts w:ascii="Book Antiqua" w:hAnsi="Book Antiqua"/>
          <w:sz w:val="20"/>
          <w:szCs w:val="20"/>
        </w:rPr>
        <w:lastRenderedPageBreak/>
        <w:t>c.</w:t>
      </w:r>
      <w:r w:rsidRPr="00C066A0">
        <w:rPr>
          <w:rFonts w:ascii="Book Antiqua" w:hAnsi="Book Antiqua"/>
          <w:sz w:val="20"/>
          <w:szCs w:val="20"/>
        </w:rPr>
        <w:tab/>
        <w:t xml:space="preserve">La acción típica está constituida por los verbos conjugados "trata de inducir". Inducir, en el sentido común del lenguaje es instigar o incitar. El tratar de inducir es procurar incitar al elector hacia un resultado. Al respecto caben dos aclaraciones. El sentido común del término instigación no puede confundirse con su sentido jurídico. La instigación que pretende generar el sujeto activo es con relación a la voluntad de elector de no votar o de hacerlo, en el sentido deseado por el inductor. Ello nada tiene que ver con la instigación, en sentido penal, que hace nacer la voluntad en el instigado, de cometer un delito. En el mismo sentido se ha pronunciado anteriormente esta Corte Suprema señalando que </w:t>
      </w:r>
      <w:r w:rsidR="00D674CB">
        <w:rPr>
          <w:rFonts w:ascii="Book Antiqua" w:hAnsi="Book Antiqua"/>
          <w:sz w:val="20"/>
          <w:szCs w:val="20"/>
        </w:rPr>
        <w:t>“</w:t>
      </w:r>
      <w:r w:rsidRPr="00C066A0">
        <w:rPr>
          <w:rFonts w:ascii="Book Antiqua" w:hAnsi="Book Antiqua"/>
          <w:sz w:val="20"/>
          <w:szCs w:val="20"/>
        </w:rPr>
        <w:t>No rigen las reglas de la instigación como forma de participación delictiva (artículo 24 del Código Penal) el verbo inducir debe considerarse verbo rector, pues esta descrito en la Parte Especial del Código Penal como una forma de autoría, que no se rige por el principio de accesoriedad</w:t>
      </w:r>
      <w:r w:rsidR="00C066A0">
        <w:rPr>
          <w:rStyle w:val="Refdenotaalpie"/>
          <w:rFonts w:ascii="Book Antiqua" w:hAnsi="Book Antiqua"/>
          <w:sz w:val="20"/>
          <w:szCs w:val="20"/>
        </w:rPr>
        <w:footnoteReference w:id="3"/>
      </w:r>
      <w:r w:rsidR="00C066A0">
        <w:rPr>
          <w:rFonts w:ascii="Book Antiqua" w:hAnsi="Book Antiqua"/>
          <w:sz w:val="20"/>
          <w:szCs w:val="20"/>
        </w:rPr>
        <w:t xml:space="preserve">. </w:t>
      </w:r>
      <w:r w:rsidRPr="00C066A0">
        <w:rPr>
          <w:rFonts w:ascii="Book Antiqua" w:hAnsi="Book Antiqua"/>
          <w:sz w:val="20"/>
          <w:szCs w:val="20"/>
        </w:rPr>
        <w:t xml:space="preserve">Si el elector es inducido -instigado- su conducta es impune, pues </w:t>
      </w:r>
      <w:proofErr w:type="spellStart"/>
      <w:r w:rsidRPr="00C066A0">
        <w:rPr>
          <w:rFonts w:ascii="Book Antiqua" w:hAnsi="Book Antiqua"/>
          <w:sz w:val="20"/>
          <w:szCs w:val="20"/>
        </w:rPr>
        <w:t>el</w:t>
      </w:r>
      <w:proofErr w:type="spellEnd"/>
      <w:r w:rsidRPr="00C066A0">
        <w:rPr>
          <w:rFonts w:ascii="Book Antiqua" w:hAnsi="Book Antiqua"/>
          <w:sz w:val="20"/>
          <w:szCs w:val="20"/>
        </w:rPr>
        <w:t xml:space="preserve"> no votar solo merece una multa administrativa y el votar en un determinado sentido u otro, es una conducta neutra. </w:t>
      </w:r>
    </w:p>
    <w:p w14:paraId="6735AF11" w14:textId="0CADDE33" w:rsidR="00377ECB" w:rsidRPr="00D674CB" w:rsidRDefault="00377ECB" w:rsidP="00377ECB">
      <w:pPr>
        <w:spacing w:line="240" w:lineRule="auto"/>
        <w:jc w:val="both"/>
        <w:rPr>
          <w:rFonts w:ascii="Book Antiqua" w:hAnsi="Book Antiqua"/>
          <w:sz w:val="20"/>
          <w:szCs w:val="20"/>
        </w:rPr>
      </w:pPr>
      <w:r w:rsidRPr="00D674CB">
        <w:rPr>
          <w:rFonts w:ascii="Book Antiqua" w:hAnsi="Book Antiqua"/>
          <w:sz w:val="20"/>
          <w:szCs w:val="20"/>
        </w:rPr>
        <w:t>d.</w:t>
      </w:r>
      <w:r w:rsidRPr="00D674CB">
        <w:rPr>
          <w:rFonts w:ascii="Book Antiqua" w:hAnsi="Book Antiqua"/>
          <w:sz w:val="20"/>
          <w:szCs w:val="20"/>
        </w:rPr>
        <w:tab/>
        <w:t xml:space="preserve">La finalidad del inductor es la de buscar que el elector, como </w:t>
      </w:r>
      <w:r w:rsidR="00D674CB" w:rsidRPr="00D674CB">
        <w:rPr>
          <w:rFonts w:ascii="Book Antiqua" w:hAnsi="Book Antiqua"/>
          <w:sz w:val="20"/>
          <w:szCs w:val="20"/>
        </w:rPr>
        <w:t>destinatario del acto inductor, no</w:t>
      </w:r>
      <w:r w:rsidRPr="00D674CB">
        <w:rPr>
          <w:rFonts w:ascii="Book Antiqua" w:hAnsi="Book Antiqua"/>
          <w:sz w:val="20"/>
          <w:szCs w:val="20"/>
        </w:rPr>
        <w:t xml:space="preserve"> vote o vote en el sentido que desea el sujeto activo. Pero estos fines alternativos son en realidad elementos subjetivos distintos al dolo; se trata de un delito de tendencia interna trascendente. Es irrelevante para fines típicos que el elector haya efectivamente sido inducido a no votar o a hacerlo en determinado sentido. El delito en cuestión es de pura actividad. Se agota con la entrega de los medios calificados, señalados expresamente en el tipo penal. </w:t>
      </w:r>
    </w:p>
    <w:p w14:paraId="118A144B" w14:textId="77777777" w:rsidR="00377ECB" w:rsidRPr="00D674CB" w:rsidRDefault="00377ECB" w:rsidP="00377ECB">
      <w:pPr>
        <w:spacing w:line="240" w:lineRule="auto"/>
        <w:jc w:val="both"/>
        <w:rPr>
          <w:rFonts w:ascii="Book Antiqua" w:hAnsi="Book Antiqua"/>
          <w:sz w:val="20"/>
          <w:szCs w:val="20"/>
        </w:rPr>
      </w:pPr>
      <w:r w:rsidRPr="00D674CB">
        <w:rPr>
          <w:rFonts w:ascii="Book Antiqua" w:hAnsi="Book Antiqua"/>
          <w:sz w:val="20"/>
          <w:szCs w:val="20"/>
        </w:rPr>
        <w:t>e.</w:t>
      </w:r>
      <w:r w:rsidRPr="00D674CB">
        <w:rPr>
          <w:rFonts w:ascii="Book Antiqua" w:hAnsi="Book Antiqua"/>
          <w:sz w:val="20"/>
          <w:szCs w:val="20"/>
        </w:rPr>
        <w:tab/>
        <w:t xml:space="preserve">Los medios que puede utilizar el sujeto activo pueden ser: i) La entrega de dádivas; esto es, donativos o bienes que se dan gratuitamente; </w:t>
      </w:r>
      <w:proofErr w:type="spellStart"/>
      <w:r w:rsidRPr="00D674CB">
        <w:rPr>
          <w:rFonts w:ascii="Book Antiqua" w:hAnsi="Book Antiqua"/>
          <w:sz w:val="20"/>
          <w:szCs w:val="20"/>
        </w:rPr>
        <w:t>ii</w:t>
      </w:r>
      <w:proofErr w:type="spellEnd"/>
      <w:r w:rsidRPr="00D674CB">
        <w:rPr>
          <w:rFonts w:ascii="Book Antiqua" w:hAnsi="Book Antiqua"/>
          <w:sz w:val="20"/>
          <w:szCs w:val="20"/>
        </w:rPr>
        <w:t xml:space="preserve">) El otorgamiento de ventajas; vale decir, cualquier utilidad o beneficio que se reciba de carácter inmaterial (empleos, tratos preferentes, becas) y, c) La promesa o el ofrecimiento de recibir beneficios, bienes o cualquier utilidad. </w:t>
      </w:r>
    </w:p>
    <w:p w14:paraId="7939310C" w14:textId="77777777" w:rsidR="00377ECB" w:rsidRPr="00D674CB" w:rsidRDefault="00377ECB" w:rsidP="00377ECB">
      <w:pPr>
        <w:spacing w:line="240" w:lineRule="auto"/>
        <w:jc w:val="both"/>
        <w:rPr>
          <w:rFonts w:ascii="Book Antiqua" w:hAnsi="Book Antiqua"/>
          <w:sz w:val="20"/>
          <w:szCs w:val="20"/>
        </w:rPr>
      </w:pPr>
      <w:r w:rsidRPr="00D674CB">
        <w:rPr>
          <w:rFonts w:ascii="Book Antiqua" w:hAnsi="Book Antiqua"/>
          <w:sz w:val="20"/>
          <w:szCs w:val="20"/>
        </w:rPr>
        <w:t>f.</w:t>
      </w:r>
      <w:r w:rsidRPr="00D674CB">
        <w:rPr>
          <w:rFonts w:ascii="Book Antiqua" w:hAnsi="Book Antiqua"/>
          <w:sz w:val="20"/>
          <w:szCs w:val="20"/>
        </w:rPr>
        <w:tab/>
        <w:t xml:space="preserve">El sujeto sobre el que recae físicamente la acción debe necesariamente ser un elector. </w:t>
      </w:r>
    </w:p>
    <w:p w14:paraId="221B9538" w14:textId="77777777" w:rsidR="00377ECB" w:rsidRPr="00D674CB" w:rsidRDefault="00377ECB" w:rsidP="00377ECB">
      <w:pPr>
        <w:spacing w:line="240" w:lineRule="auto"/>
        <w:jc w:val="both"/>
        <w:rPr>
          <w:rFonts w:ascii="Book Antiqua" w:hAnsi="Book Antiqua"/>
          <w:sz w:val="20"/>
          <w:szCs w:val="20"/>
        </w:rPr>
      </w:pPr>
      <w:r w:rsidRPr="00D674CB">
        <w:rPr>
          <w:rFonts w:ascii="Book Antiqua" w:hAnsi="Book Antiqua"/>
          <w:sz w:val="20"/>
          <w:szCs w:val="20"/>
        </w:rPr>
        <w:t>g.</w:t>
      </w:r>
      <w:r w:rsidRPr="00D674CB">
        <w:rPr>
          <w:rFonts w:ascii="Book Antiqua" w:hAnsi="Book Antiqua"/>
          <w:sz w:val="20"/>
          <w:szCs w:val="20"/>
        </w:rPr>
        <w:tab/>
        <w:t xml:space="preserve">El tipo subjetivo es exclusivamente doloso. El agente debe tener conocimiento que pretende desviar la voluntad de un elector, mediante la entrega de dádivas, ventajas o promesas, con la finalidad de inducirlo a no votar o a hacerlo en determinado sentido. </w:t>
      </w:r>
    </w:p>
    <w:p w14:paraId="645E5126" w14:textId="77777777" w:rsidR="00377ECB" w:rsidRPr="00D674CB" w:rsidRDefault="00377ECB" w:rsidP="00377ECB">
      <w:pPr>
        <w:spacing w:line="240" w:lineRule="auto"/>
        <w:jc w:val="both"/>
        <w:rPr>
          <w:rFonts w:ascii="Book Antiqua" w:hAnsi="Book Antiqua"/>
          <w:b/>
          <w:bCs/>
          <w:sz w:val="20"/>
          <w:szCs w:val="20"/>
        </w:rPr>
      </w:pPr>
      <w:r w:rsidRPr="00D674CB">
        <w:rPr>
          <w:rFonts w:ascii="Book Antiqua" w:hAnsi="Book Antiqua"/>
          <w:b/>
          <w:bCs/>
          <w:sz w:val="20"/>
          <w:szCs w:val="20"/>
        </w:rPr>
        <w:t xml:space="preserve">Bien jurídico e imputación objetiva </w:t>
      </w:r>
    </w:p>
    <w:p w14:paraId="115BF98C" w14:textId="77777777" w:rsidR="00377ECB" w:rsidRPr="00D674CB" w:rsidRDefault="00377ECB" w:rsidP="00377ECB">
      <w:pPr>
        <w:spacing w:line="240" w:lineRule="auto"/>
        <w:jc w:val="both"/>
        <w:rPr>
          <w:rFonts w:ascii="Book Antiqua" w:hAnsi="Book Antiqua"/>
          <w:sz w:val="20"/>
          <w:szCs w:val="20"/>
        </w:rPr>
      </w:pPr>
      <w:r w:rsidRPr="00D674CB">
        <w:rPr>
          <w:rFonts w:ascii="Book Antiqua" w:hAnsi="Book Antiqua"/>
          <w:b/>
          <w:bCs/>
          <w:sz w:val="20"/>
          <w:szCs w:val="20"/>
        </w:rPr>
        <w:t>Vigésimo quinto. -</w:t>
      </w:r>
      <w:r w:rsidRPr="00D674CB">
        <w:rPr>
          <w:rFonts w:ascii="Book Antiqua" w:hAnsi="Book Antiqua"/>
          <w:sz w:val="20"/>
          <w:szCs w:val="20"/>
        </w:rPr>
        <w:t xml:space="preserve"> Ahora bien, a efecto de precisar los alcances típicos del presente delito, es menester desarrollar puntualmente tres aspectos interrelacionados. i) La cuestión del bien jurídico protegido; ji) Los criterios de imputación objetiva; </w:t>
      </w:r>
      <w:proofErr w:type="spellStart"/>
      <w:r w:rsidRPr="00D674CB">
        <w:rPr>
          <w:rFonts w:ascii="Book Antiqua" w:hAnsi="Book Antiqua"/>
          <w:sz w:val="20"/>
          <w:szCs w:val="20"/>
        </w:rPr>
        <w:t>iii</w:t>
      </w:r>
      <w:proofErr w:type="spellEnd"/>
      <w:r w:rsidRPr="00D674CB">
        <w:rPr>
          <w:rFonts w:ascii="Book Antiqua" w:hAnsi="Book Antiqua"/>
          <w:sz w:val="20"/>
          <w:szCs w:val="20"/>
        </w:rPr>
        <w:t xml:space="preserve">) El concepto de elector, como objeto del delito. </w:t>
      </w:r>
    </w:p>
    <w:p w14:paraId="5ACCC141" w14:textId="77777777" w:rsidR="00377ECB" w:rsidRPr="00D674CB" w:rsidRDefault="00377ECB" w:rsidP="00377ECB">
      <w:pPr>
        <w:spacing w:line="240" w:lineRule="auto"/>
        <w:jc w:val="both"/>
        <w:rPr>
          <w:rFonts w:ascii="Book Antiqua" w:hAnsi="Book Antiqua"/>
          <w:sz w:val="20"/>
          <w:szCs w:val="20"/>
        </w:rPr>
      </w:pPr>
      <w:r w:rsidRPr="00D674CB">
        <w:rPr>
          <w:rFonts w:ascii="Book Antiqua" w:hAnsi="Book Antiqua"/>
          <w:sz w:val="20"/>
          <w:szCs w:val="20"/>
        </w:rPr>
        <w:t>Estos tres elementos están imbricados dado que debe considerarse que el bien jurídico protegido debe ser afectado de algún modo, a través de conductas cuya entidad y fin han de traducirse en un aumento del riesgo a dicho bien jurídico relevante, y ello con injerencia sobre las personas a quienes se quiere influenciar con la conducta inductora.</w:t>
      </w:r>
    </w:p>
    <w:p w14:paraId="7C1EC8D4" w14:textId="77777777" w:rsidR="00377ECB" w:rsidRPr="00D674CB" w:rsidRDefault="00377ECB" w:rsidP="00377ECB">
      <w:pPr>
        <w:spacing w:line="240" w:lineRule="auto"/>
        <w:jc w:val="both"/>
        <w:rPr>
          <w:rFonts w:ascii="Book Antiqua" w:hAnsi="Book Antiqua"/>
          <w:sz w:val="20"/>
          <w:szCs w:val="20"/>
        </w:rPr>
      </w:pPr>
      <w:r w:rsidRPr="00D674CB">
        <w:rPr>
          <w:rFonts w:ascii="Book Antiqua" w:hAnsi="Book Antiqua"/>
          <w:b/>
          <w:bCs/>
          <w:sz w:val="20"/>
          <w:szCs w:val="20"/>
        </w:rPr>
        <w:t>Vigésimo sexto. -</w:t>
      </w:r>
      <w:r w:rsidRPr="00D674CB">
        <w:rPr>
          <w:rFonts w:ascii="Book Antiqua" w:hAnsi="Book Antiqua"/>
          <w:sz w:val="20"/>
          <w:szCs w:val="20"/>
        </w:rPr>
        <w:t xml:space="preserve"> El bien jurídico protegido se expresa en dos niveles. Como criterio axiológico general se tiene que el delito de inducción al (no)voto atenta contra la voluntad popular; como expresión de la soberanía del pueblo en la elección de sus representantes en los diversos estamentos de una sociedad democrático representativa. La voluntad popular se forma con la conjunción de la libre elección de los ciudadanos. Pero al mismo tiempo, un segundo nivel de protección, se relaciona con el derecho que tiene todo ciudadano a sufragar -objeto jurídico específico de protección-, sin presión, coacción o inducción alguna.</w:t>
      </w:r>
    </w:p>
    <w:p w14:paraId="440B74A3" w14:textId="5DD65D22" w:rsidR="00377ECB" w:rsidRPr="00D674CB" w:rsidRDefault="00377ECB" w:rsidP="00377ECB">
      <w:pPr>
        <w:spacing w:line="240" w:lineRule="auto"/>
        <w:jc w:val="both"/>
        <w:rPr>
          <w:rFonts w:ascii="Book Antiqua" w:hAnsi="Book Antiqua"/>
          <w:sz w:val="20"/>
          <w:szCs w:val="20"/>
        </w:rPr>
      </w:pPr>
      <w:r w:rsidRPr="00D674CB">
        <w:rPr>
          <w:rFonts w:ascii="Book Antiqua" w:hAnsi="Book Antiqua"/>
          <w:b/>
          <w:bCs/>
          <w:sz w:val="20"/>
          <w:szCs w:val="20"/>
        </w:rPr>
        <w:t>Vigésimo sétimo.</w:t>
      </w:r>
      <w:r w:rsidRPr="00D674CB">
        <w:rPr>
          <w:rFonts w:ascii="Book Antiqua" w:hAnsi="Book Antiqua"/>
          <w:sz w:val="20"/>
          <w:szCs w:val="20"/>
        </w:rPr>
        <w:t xml:space="preserve"> - Precisados los alcances del bien jurídico, la cuestión que surge a continuación es ¿cuál es el ámbito de afectación que debe exigirse para que se entienda que estamos ante un riesgo intolerable y, por </w:t>
      </w:r>
      <w:r w:rsidR="00D674CB" w:rsidRPr="00D674CB">
        <w:rPr>
          <w:rFonts w:ascii="Book Antiqua" w:hAnsi="Book Antiqua"/>
          <w:sz w:val="20"/>
          <w:szCs w:val="20"/>
        </w:rPr>
        <w:t>ende,</w:t>
      </w:r>
      <w:r w:rsidRPr="00D674CB">
        <w:rPr>
          <w:rFonts w:ascii="Book Antiqua" w:hAnsi="Book Antiqua"/>
          <w:sz w:val="20"/>
          <w:szCs w:val="20"/>
        </w:rPr>
        <w:t xml:space="preserve"> prohibido, al bien jurídico? Para su delimitación se han aportado </w:t>
      </w:r>
      <w:r w:rsidRPr="00D674CB">
        <w:rPr>
          <w:rFonts w:ascii="Book Antiqua" w:hAnsi="Book Antiqua"/>
          <w:sz w:val="20"/>
          <w:szCs w:val="20"/>
        </w:rPr>
        <w:lastRenderedPageBreak/>
        <w:t>dos criterios extremos con relación al comienzo de afectación del bien jurídico. Una primera posición que sostiene que en realidad el delito en cuestión solo puede cometerse, el día convocado para la elección misma; esto es, solo podría afectarse al bien jurídico tutelado, durante el proceso de votación, y durante las horas en que es posible sufragar. Una segunda posición, que considera que la condición de ciudadano y, por ende, de elector es permanente, por lo que se puede inducir al voto en cualquier momento.</w:t>
      </w:r>
    </w:p>
    <w:p w14:paraId="0686625E" w14:textId="77777777" w:rsidR="00377ECB" w:rsidRPr="00170623" w:rsidRDefault="00377ECB" w:rsidP="00377ECB">
      <w:pPr>
        <w:spacing w:line="240" w:lineRule="auto"/>
        <w:jc w:val="both"/>
        <w:rPr>
          <w:rFonts w:ascii="Book Antiqua" w:hAnsi="Book Antiqua"/>
          <w:sz w:val="20"/>
          <w:szCs w:val="20"/>
        </w:rPr>
      </w:pPr>
      <w:r w:rsidRPr="00170623">
        <w:rPr>
          <w:rFonts w:ascii="Book Antiqua" w:hAnsi="Book Antiqua"/>
          <w:b/>
          <w:bCs/>
          <w:sz w:val="20"/>
          <w:szCs w:val="20"/>
        </w:rPr>
        <w:t>Vigésimo octavo.</w:t>
      </w:r>
      <w:r w:rsidRPr="00170623">
        <w:rPr>
          <w:rFonts w:ascii="Book Antiqua" w:hAnsi="Book Antiqua"/>
          <w:sz w:val="20"/>
          <w:szCs w:val="20"/>
        </w:rPr>
        <w:t xml:space="preserve"> - Ambas posturas son extremas y, por tanto, no delimitan racionalmente el ámbito de intervención del derecho penal. La primera postura interpretativa reduce a la nada o torna en inoperativo el tipo penal. Supone que el delito se pueda cometer solo mediante la repartición de medios inductores, ad portas del local de votación, el día en que está prohibido todo tipo de propaganda electoral, y cuando estadísticamente se sabe que el elector ya ha decidido su voto. En realidad, los actos evidentes y destinados a viciar la voluntad del elector tienen expresiones típicas más graves, como las previstas en el delito de impedimento, por violencia o amenaza, del derecho al sufragio (art. 355) o los atentados al derecho al sufragio (art. 359). Por el contrario, el delito cuyos alcances estamos analizando es de características más sutiles y más extendido en su ámbito temporal de realización.</w:t>
      </w:r>
    </w:p>
    <w:p w14:paraId="6C7858C2" w14:textId="364538CA" w:rsidR="00377ECB" w:rsidRPr="00170623" w:rsidRDefault="00377ECB" w:rsidP="00377ECB">
      <w:pPr>
        <w:spacing w:line="240" w:lineRule="auto"/>
        <w:jc w:val="both"/>
        <w:rPr>
          <w:rFonts w:ascii="Book Antiqua" w:hAnsi="Book Antiqua"/>
          <w:sz w:val="20"/>
          <w:szCs w:val="20"/>
        </w:rPr>
      </w:pPr>
      <w:r w:rsidRPr="00170623">
        <w:rPr>
          <w:rFonts w:ascii="Book Antiqua" w:hAnsi="Book Antiqua"/>
          <w:b/>
          <w:bCs/>
          <w:sz w:val="20"/>
          <w:szCs w:val="20"/>
        </w:rPr>
        <w:t>Vigésimo noveno.</w:t>
      </w:r>
      <w:r w:rsidRPr="00170623">
        <w:rPr>
          <w:rFonts w:ascii="Book Antiqua" w:hAnsi="Book Antiqua"/>
          <w:sz w:val="20"/>
          <w:szCs w:val="20"/>
        </w:rPr>
        <w:t xml:space="preserve"> - Pero tampoco puede ser </w:t>
      </w:r>
      <w:r w:rsidR="00170623" w:rsidRPr="00170623">
        <w:rPr>
          <w:rFonts w:ascii="Book Antiqua" w:hAnsi="Book Antiqua"/>
          <w:sz w:val="20"/>
          <w:szCs w:val="20"/>
        </w:rPr>
        <w:t>u</w:t>
      </w:r>
      <w:r w:rsidRPr="00170623">
        <w:rPr>
          <w:rFonts w:ascii="Book Antiqua" w:hAnsi="Book Antiqua"/>
          <w:sz w:val="20"/>
          <w:szCs w:val="20"/>
        </w:rPr>
        <w:t>n delito que sea realizable en cualquier momento de la vida social. Primero, porque tal postura convertiría al derecho penal es un instrumento omnicomprensivo en la defensa de los bienes jurídicos. Sería incluso una expresión expansiva del derecho penal de riesgo, que deja de lado el principio de fragmentariedad y subsidiaridad. No se ocuparía en efecto de las conductas más graves, y la gravedad tiene que ver ciertamente con la proximidad del acto electoral. Sería el primer instrumento de control social, dejando sin objeto al derecho electoral sancionatorio o al control social informal. Por lo demás, tal visión maximalista en el fondo subestima la capacidad misma de los ciudadanos, y de su madurez cívica, porque deja trasuntar la idea que los ciudadanos son personas manipulables. Por lo que debe ser desestimada.</w:t>
      </w:r>
    </w:p>
    <w:p w14:paraId="5FF1F58C" w14:textId="5FC11F34" w:rsidR="00377ECB" w:rsidRPr="00170623" w:rsidRDefault="00377ECB" w:rsidP="00377ECB">
      <w:pPr>
        <w:spacing w:line="240" w:lineRule="auto"/>
        <w:jc w:val="both"/>
        <w:rPr>
          <w:rFonts w:ascii="Book Antiqua" w:hAnsi="Book Antiqua"/>
          <w:sz w:val="20"/>
          <w:szCs w:val="20"/>
        </w:rPr>
      </w:pPr>
      <w:r w:rsidRPr="00170623">
        <w:rPr>
          <w:rFonts w:ascii="Book Antiqua" w:hAnsi="Book Antiqua"/>
          <w:b/>
          <w:bCs/>
          <w:sz w:val="20"/>
          <w:szCs w:val="20"/>
        </w:rPr>
        <w:t>Trigésimo. -</w:t>
      </w:r>
      <w:r w:rsidRPr="00170623">
        <w:rPr>
          <w:rFonts w:ascii="Book Antiqua" w:hAnsi="Book Antiqua"/>
          <w:sz w:val="20"/>
          <w:szCs w:val="20"/>
        </w:rPr>
        <w:t xml:space="preserve"> Descartadas ambas opciones interpretativas ha de buscarse un referente más adecuado a los fines y límites del control penal y a las concretas posibilidades que este delito se produzca en la realidad. Estimamos que el criterio objetivo más adecuado, en este ámbito, es el proceso electoral, tal como está regulado en nuestro país. El proceso electoral peruano puede ser diferenciado en las siguientes etapas: a) Convocatoria a elecciones; b) Inscripción de candidatos; c) Sufragio; d) Escrutinio; y, e) Resultado de las elecciones. En el marco del proceso electoral el ciudadano activa su condición de elector y es capaz de ejercer su Derecho al sufragio.</w:t>
      </w:r>
    </w:p>
    <w:p w14:paraId="4105A032" w14:textId="11F95436" w:rsidR="00377ECB" w:rsidRPr="00170623" w:rsidRDefault="00377ECB" w:rsidP="00377ECB">
      <w:pPr>
        <w:spacing w:line="240" w:lineRule="auto"/>
        <w:jc w:val="both"/>
        <w:rPr>
          <w:rFonts w:ascii="Book Antiqua" w:hAnsi="Book Antiqua"/>
          <w:sz w:val="20"/>
          <w:szCs w:val="20"/>
        </w:rPr>
      </w:pPr>
      <w:r w:rsidRPr="00170623">
        <w:rPr>
          <w:rFonts w:ascii="Book Antiqua" w:hAnsi="Book Antiqua"/>
          <w:sz w:val="20"/>
          <w:szCs w:val="20"/>
        </w:rPr>
        <w:t xml:space="preserve">Si vemos secuencialmente el proceso electoral y lo vinculamos con las características típicas del delito en estudio, podríamos descartar que la convocatoria a elecciones, fija un momento </w:t>
      </w:r>
      <w:r w:rsidR="00170623" w:rsidRPr="00170623">
        <w:rPr>
          <w:rFonts w:ascii="Book Antiqua" w:hAnsi="Book Antiqua"/>
          <w:sz w:val="20"/>
          <w:szCs w:val="20"/>
        </w:rPr>
        <w:t>aún</w:t>
      </w:r>
      <w:r w:rsidRPr="00170623">
        <w:rPr>
          <w:rFonts w:ascii="Book Antiqua" w:hAnsi="Book Antiqua"/>
          <w:sz w:val="20"/>
          <w:szCs w:val="20"/>
        </w:rPr>
        <w:t xml:space="preserve"> muy lejano para que prospere una conducta inductora. En este periodo no se tiene aún idea de quiénes participarán en la misma. En realidad, la etapa en la que ya podría </w:t>
      </w:r>
      <w:r w:rsidR="00170623" w:rsidRPr="00170623">
        <w:rPr>
          <w:rFonts w:ascii="Book Antiqua" w:hAnsi="Book Antiqua"/>
          <w:sz w:val="20"/>
          <w:szCs w:val="20"/>
        </w:rPr>
        <w:t>tener sentido la conducta típica, es la de inscripción de candidatos</w:t>
      </w:r>
      <w:r w:rsidR="00170623">
        <w:rPr>
          <w:rFonts w:ascii="Book Antiqua" w:hAnsi="Book Antiqua"/>
          <w:sz w:val="20"/>
          <w:szCs w:val="20"/>
        </w:rPr>
        <w:t xml:space="preserve"> </w:t>
      </w:r>
      <w:r w:rsidRPr="00170623">
        <w:rPr>
          <w:rFonts w:ascii="Book Antiqua" w:hAnsi="Book Antiqua"/>
          <w:sz w:val="20"/>
          <w:szCs w:val="20"/>
        </w:rPr>
        <w:t>y se extiende hasta el sufragio. El Derecho a la libre determinación del voto comienza a configurarse, de un modo fácticamente posible, desde el momento en que se tiene una relación certera de los posibles candidatos a elegir, esto es, desde el momento en que estos se inscriben, pudiendo verse afectada hasta el momento en que se lleva a cabo el sufragio, el cual es la culminación del proceso de determinación del voto.</w:t>
      </w:r>
    </w:p>
    <w:p w14:paraId="0FDF71B6" w14:textId="77777777" w:rsidR="00377ECB" w:rsidRPr="00170623" w:rsidRDefault="00377ECB" w:rsidP="00377ECB">
      <w:pPr>
        <w:spacing w:line="240" w:lineRule="auto"/>
        <w:jc w:val="both"/>
        <w:rPr>
          <w:rFonts w:ascii="Book Antiqua" w:hAnsi="Book Antiqua"/>
          <w:sz w:val="20"/>
          <w:szCs w:val="20"/>
        </w:rPr>
      </w:pPr>
      <w:r w:rsidRPr="00170623">
        <w:rPr>
          <w:rFonts w:ascii="Book Antiqua" w:hAnsi="Book Antiqua"/>
          <w:b/>
          <w:bCs/>
          <w:sz w:val="20"/>
          <w:szCs w:val="20"/>
        </w:rPr>
        <w:t>Trigésimo primero. -</w:t>
      </w:r>
      <w:r w:rsidRPr="00170623">
        <w:rPr>
          <w:rFonts w:ascii="Book Antiqua" w:hAnsi="Book Antiqua"/>
          <w:sz w:val="20"/>
          <w:szCs w:val="20"/>
        </w:rPr>
        <w:t xml:space="preserve"> Es dentro de este contexto que adquiere sentido el concepto de elector. Esta categoría no pertenece al ámbito </w:t>
      </w:r>
      <w:proofErr w:type="gramStart"/>
      <w:r w:rsidRPr="00170623">
        <w:rPr>
          <w:rFonts w:ascii="Book Antiqua" w:hAnsi="Book Antiqua"/>
          <w:sz w:val="20"/>
          <w:szCs w:val="20"/>
        </w:rPr>
        <w:t>penal</w:t>
      </w:r>
      <w:proofErr w:type="gramEnd"/>
      <w:r w:rsidRPr="00170623">
        <w:rPr>
          <w:rFonts w:ascii="Book Antiqua" w:hAnsi="Book Antiqua"/>
          <w:sz w:val="20"/>
          <w:szCs w:val="20"/>
        </w:rPr>
        <w:t xml:space="preserve"> sino que es de origen y concepción del Derecho Electoral. La Ley Orgánica de Elecciones al referirse al elector lo hace únicamente en términos de la persona que asiste a votar, sin </w:t>
      </w:r>
      <w:proofErr w:type="gramStart"/>
      <w:r w:rsidRPr="00170623">
        <w:rPr>
          <w:rFonts w:ascii="Book Antiqua" w:hAnsi="Book Antiqua"/>
          <w:sz w:val="20"/>
          <w:szCs w:val="20"/>
        </w:rPr>
        <w:t>embargo</w:t>
      </w:r>
      <w:proofErr w:type="gramEnd"/>
      <w:r w:rsidRPr="00170623">
        <w:rPr>
          <w:rFonts w:ascii="Book Antiqua" w:hAnsi="Book Antiqua"/>
          <w:sz w:val="20"/>
          <w:szCs w:val="20"/>
        </w:rPr>
        <w:t xml:space="preserve"> ello no implica que dicha concepción sea transferible sin más al Derecho Penal. Esta noción restrictiva de elector es concebible en la medida que durante el proceso electoral los principales intervinientes son las pertinentes entidades del Estado — Organismo Nacional de Procesos Electorales, Jurado Nacional de Elecciones y Registro Nacional de Identificación y Estado Civil — Y los candidatos, por lo que la Ley Orgánica de Elecciones regula su participación durante el proceso electoral; empero, el elector únicamente participa durante el escrutinio por lo que la Ley Orgánica de Elecciones lo concibe en dicho ámbito.</w:t>
      </w:r>
    </w:p>
    <w:p w14:paraId="2686C3D8" w14:textId="04E0B3DF" w:rsidR="00377ECB" w:rsidRPr="00021B01" w:rsidRDefault="00377ECB" w:rsidP="00377ECB">
      <w:pPr>
        <w:spacing w:line="240" w:lineRule="auto"/>
        <w:jc w:val="both"/>
        <w:rPr>
          <w:rFonts w:ascii="Book Antiqua" w:hAnsi="Book Antiqua"/>
          <w:sz w:val="20"/>
          <w:szCs w:val="20"/>
        </w:rPr>
      </w:pPr>
      <w:r w:rsidRPr="00021B01">
        <w:rPr>
          <w:rFonts w:ascii="Book Antiqua" w:hAnsi="Book Antiqua"/>
          <w:b/>
          <w:bCs/>
          <w:sz w:val="20"/>
          <w:szCs w:val="20"/>
        </w:rPr>
        <w:lastRenderedPageBreak/>
        <w:t>Trigésimo segundo. -</w:t>
      </w:r>
      <w:r w:rsidRPr="00021B01">
        <w:rPr>
          <w:rFonts w:ascii="Book Antiqua" w:hAnsi="Book Antiqua"/>
          <w:sz w:val="20"/>
          <w:szCs w:val="20"/>
        </w:rPr>
        <w:t xml:space="preserve"> El concepto de elector, desde una perspectiva social, está vinculado al concepto de ciudadano. La adquisición de la mayoría de edad conlleva consigo Deberes y Derechos, entre ellos está la adquisición de la ciudadanía, esta última no solo puede ser adquirida con el nacimiento en un ámbito territorial sino también puede ser solicitada y otorgada por el Estado. Por ello, desde una perspectiva constitucional toda persona no es un ciudadano, pero el adquirir la categoría de ciudadano conlleva consigo el Derecho al voto. Así también, el hecho de ser ciudadano no habilita a desempeñar este derecho indistintamente, sino que este solo puede ser desempeñado en un ámbito territorial específico. En ese sentido el concepto de elector se encuentra vinculado al concepto de ciudadano antes que al concepto de sufragio. Empero el concepto de elector contenido en el tipo penal nos permite ubicar su interpretación en el marco del proceso electoral, lo cual es una primera</w:t>
      </w:r>
      <w:r w:rsidR="00021B01">
        <w:rPr>
          <w:rFonts w:ascii="Book Antiqua" w:hAnsi="Book Antiqua"/>
          <w:sz w:val="20"/>
          <w:szCs w:val="20"/>
        </w:rPr>
        <w:t xml:space="preserve"> </w:t>
      </w:r>
      <w:r w:rsidRPr="00021B01">
        <w:rPr>
          <w:rFonts w:ascii="Book Antiqua" w:hAnsi="Book Antiqua"/>
          <w:sz w:val="20"/>
          <w:szCs w:val="20"/>
        </w:rPr>
        <w:t>delimitación del momento en que es factible vulnerar o poner en peligro el bien jurídico del tipo penal.</w:t>
      </w:r>
    </w:p>
    <w:p w14:paraId="1B140A97" w14:textId="77777777" w:rsidR="00377ECB" w:rsidRPr="00021B01" w:rsidRDefault="00377ECB" w:rsidP="00377ECB">
      <w:pPr>
        <w:spacing w:line="240" w:lineRule="auto"/>
        <w:jc w:val="both"/>
        <w:rPr>
          <w:rFonts w:ascii="Book Antiqua" w:hAnsi="Book Antiqua"/>
          <w:b/>
          <w:bCs/>
          <w:sz w:val="20"/>
          <w:szCs w:val="20"/>
        </w:rPr>
      </w:pPr>
      <w:r w:rsidRPr="00021B01">
        <w:rPr>
          <w:rFonts w:ascii="Book Antiqua" w:hAnsi="Book Antiqua"/>
          <w:b/>
          <w:bCs/>
          <w:sz w:val="20"/>
          <w:szCs w:val="20"/>
        </w:rPr>
        <w:t>Bien jurídico y derecho electoral sancionatorio</w:t>
      </w:r>
    </w:p>
    <w:p w14:paraId="6AE70384" w14:textId="77777777" w:rsidR="00377ECB" w:rsidRPr="00021B01" w:rsidRDefault="00377ECB" w:rsidP="00377ECB">
      <w:pPr>
        <w:spacing w:line="240" w:lineRule="auto"/>
        <w:jc w:val="both"/>
        <w:rPr>
          <w:rFonts w:ascii="Book Antiqua" w:hAnsi="Book Antiqua"/>
          <w:sz w:val="20"/>
          <w:szCs w:val="20"/>
        </w:rPr>
      </w:pPr>
      <w:r w:rsidRPr="00021B01">
        <w:rPr>
          <w:rFonts w:ascii="Book Antiqua" w:hAnsi="Book Antiqua"/>
          <w:b/>
          <w:bCs/>
          <w:sz w:val="20"/>
          <w:szCs w:val="20"/>
        </w:rPr>
        <w:t>Trigésimo tercero.</w:t>
      </w:r>
      <w:r w:rsidRPr="00021B01">
        <w:rPr>
          <w:rFonts w:ascii="Book Antiqua" w:hAnsi="Book Antiqua"/>
          <w:sz w:val="20"/>
          <w:szCs w:val="20"/>
        </w:rPr>
        <w:t xml:space="preserve"> - Delimitado el ámbito temporal en el que puede cometerse el delito, es de determinar el ámbito de aplicación del control penal y si hay traslapes o ámbitos sancionatorios similares de parte del derecho penal y el electoral sancionatorio. En efecto, en el ámbito del derecho público hay conductas similares, como es el caso del artículo 42 de la Ley de Organizaciones Políticas en el que se sanciona administrativamente la siguiente conducta: "Las organizaciones políticas, en el marco de un proceso electoral están prohibidas de efectuar la entrega, promesa u ofrecimiento de dinero, regalos, dádivas u otros obsequios de naturaleza económica, de manera directa o a través de terceros, salvo aquéllos que constituyan propaganda electoral, en cuyo caso deberán exceder del 0.5% de la UIT por cada bien entregado como propaganda electoral”. </w:t>
      </w:r>
    </w:p>
    <w:p w14:paraId="3B7ED5CA" w14:textId="0604B2BC" w:rsidR="00377ECB" w:rsidRPr="00021B01" w:rsidRDefault="00377ECB" w:rsidP="00377ECB">
      <w:pPr>
        <w:spacing w:line="240" w:lineRule="auto"/>
        <w:jc w:val="both"/>
        <w:rPr>
          <w:rFonts w:ascii="Book Antiqua" w:hAnsi="Book Antiqua"/>
          <w:sz w:val="20"/>
          <w:szCs w:val="20"/>
        </w:rPr>
      </w:pPr>
      <w:r w:rsidRPr="00021B01">
        <w:rPr>
          <w:rFonts w:ascii="Book Antiqua" w:hAnsi="Book Antiqua"/>
          <w:b/>
          <w:bCs/>
          <w:sz w:val="20"/>
          <w:szCs w:val="20"/>
        </w:rPr>
        <w:t>Trigésimo cuarto. -</w:t>
      </w:r>
      <w:r w:rsidRPr="00021B01">
        <w:rPr>
          <w:rFonts w:ascii="Book Antiqua" w:hAnsi="Book Antiqua"/>
          <w:sz w:val="20"/>
          <w:szCs w:val="20"/>
        </w:rPr>
        <w:t xml:space="preserve"> Si bien ambas normas guardan similitud, el ámbito de protección es distinto. La sanción administrativa se encuentra en la Ley de organizaciones políticas, específicamente como parte del Título VI, respecto del Financiamiento de Partidos Políticos. En ese sentido, dicha norma administrativa se encuentra orientada a regular la interacción de los partidos políticos en el marco de un proceso electoral con el objetivo </w:t>
      </w:r>
      <w:r w:rsidR="00021B01" w:rsidRPr="00021B01">
        <w:rPr>
          <w:rFonts w:ascii="Book Antiqua" w:hAnsi="Book Antiqua"/>
          <w:sz w:val="20"/>
          <w:szCs w:val="20"/>
        </w:rPr>
        <w:t>de que, indistintamente</w:t>
      </w:r>
      <w:r w:rsidRPr="00021B01">
        <w:rPr>
          <w:rFonts w:ascii="Book Antiqua" w:hAnsi="Book Antiqua"/>
          <w:sz w:val="20"/>
          <w:szCs w:val="20"/>
        </w:rPr>
        <w:t xml:space="preserve"> de</w:t>
      </w:r>
      <w:r w:rsidR="00021B01" w:rsidRPr="00021B01">
        <w:rPr>
          <w:rFonts w:ascii="Book Antiqua" w:hAnsi="Book Antiqua"/>
          <w:sz w:val="20"/>
          <w:szCs w:val="20"/>
        </w:rPr>
        <w:t xml:space="preserve"> </w:t>
      </w:r>
      <w:r w:rsidRPr="00021B01">
        <w:rPr>
          <w:rFonts w:ascii="Book Antiqua" w:hAnsi="Book Antiqua"/>
          <w:sz w:val="20"/>
          <w:szCs w:val="20"/>
        </w:rPr>
        <w:t>la</w:t>
      </w:r>
      <w:r w:rsidR="00021B01" w:rsidRPr="00021B01">
        <w:rPr>
          <w:rFonts w:ascii="Book Antiqua" w:hAnsi="Book Antiqua"/>
          <w:sz w:val="20"/>
          <w:szCs w:val="20"/>
        </w:rPr>
        <w:t xml:space="preserve"> </w:t>
      </w:r>
      <w:r w:rsidRPr="00021B01">
        <w:rPr>
          <w:rFonts w:ascii="Book Antiqua" w:hAnsi="Book Antiqua"/>
          <w:sz w:val="20"/>
          <w:szCs w:val="20"/>
        </w:rPr>
        <w:t>capacidad económica</w:t>
      </w:r>
      <w:r w:rsidR="00021B01" w:rsidRPr="00021B01">
        <w:rPr>
          <w:rFonts w:ascii="Book Antiqua" w:hAnsi="Book Antiqua"/>
          <w:sz w:val="20"/>
          <w:szCs w:val="20"/>
        </w:rPr>
        <w:t xml:space="preserve"> </w:t>
      </w:r>
      <w:r w:rsidRPr="00021B01">
        <w:rPr>
          <w:rFonts w:ascii="Book Antiqua" w:hAnsi="Book Antiqua"/>
          <w:sz w:val="20"/>
          <w:szCs w:val="20"/>
        </w:rPr>
        <w:t>que (independientemente ostente cada partido, esta no se tradujera en una competencia no igualitaria en razón de la capacidad de gasto que tiene, lo cual a su vez distorsionaría los objetivos democráticos del proceso electoral. Puntualmente, dicha norma administrativa tiene la finalidad de salvaguardar que la propaganda electoral sea realizada conforme a los principios de igualdad, equidad y competitividad. Situación distinta es el caso del tipo penal de inducción al voto. Si bien se tutela el Derecho al sufragio, esta protección significa que se desea salvaguardar la capacidad del elector de determinar libremente su voto. Mientras que la sanción administrativa está orientada a proteger el proceso electoral — específicamente la igualdad de condiciones en la justa electoral — el tipo penal está orientado a proteger el derecho del elector. Ergo, si bien ambas vertientes forman, en sentido amplio, parte del derecho al sufragio, son, en sentido estricto, bienes jurídicos particularmente diferentes.</w:t>
      </w:r>
    </w:p>
    <w:p w14:paraId="0BDC8386" w14:textId="77777777" w:rsidR="00377ECB" w:rsidRPr="008D01E8" w:rsidRDefault="00377ECB" w:rsidP="00377ECB">
      <w:pPr>
        <w:spacing w:line="240" w:lineRule="auto"/>
        <w:jc w:val="both"/>
        <w:rPr>
          <w:rFonts w:ascii="Book Antiqua" w:hAnsi="Book Antiqua"/>
          <w:b/>
          <w:bCs/>
          <w:sz w:val="20"/>
          <w:szCs w:val="20"/>
        </w:rPr>
      </w:pPr>
      <w:r w:rsidRPr="008D01E8">
        <w:rPr>
          <w:rFonts w:ascii="Book Antiqua" w:hAnsi="Book Antiqua"/>
          <w:b/>
          <w:bCs/>
          <w:sz w:val="20"/>
          <w:szCs w:val="20"/>
        </w:rPr>
        <w:t>Grado de afectación del bien jurídico</w:t>
      </w:r>
    </w:p>
    <w:p w14:paraId="25AE56B1" w14:textId="2AB953D9" w:rsidR="00377ECB" w:rsidRPr="008D01E8" w:rsidRDefault="00377ECB" w:rsidP="00377ECB">
      <w:pPr>
        <w:spacing w:line="240" w:lineRule="auto"/>
        <w:jc w:val="both"/>
        <w:rPr>
          <w:rFonts w:ascii="Book Antiqua" w:hAnsi="Book Antiqua"/>
          <w:sz w:val="20"/>
          <w:szCs w:val="20"/>
        </w:rPr>
      </w:pPr>
      <w:r w:rsidRPr="008D01E8">
        <w:rPr>
          <w:rFonts w:ascii="Book Antiqua" w:hAnsi="Book Antiqua"/>
          <w:b/>
          <w:bCs/>
          <w:sz w:val="20"/>
          <w:szCs w:val="20"/>
        </w:rPr>
        <w:t>Trigésimo quinto.</w:t>
      </w:r>
      <w:r w:rsidRPr="008D01E8">
        <w:rPr>
          <w:rFonts w:ascii="Book Antiqua" w:hAnsi="Book Antiqua"/>
          <w:sz w:val="20"/>
          <w:szCs w:val="20"/>
        </w:rPr>
        <w:t xml:space="preserve"> - El delito de inducción al voto es un delito de peligro. Bastaría para su configuración el peligro de que se limite el derecho al sufragio de las personas sobre las que se ejerce la conducta inductora o que solo suponga una amenaza más o menos intensa para el objeto de la acción</w:t>
      </w:r>
      <w:r w:rsidR="00021B01" w:rsidRPr="008D01E8">
        <w:rPr>
          <w:rStyle w:val="Refdenotaalpie"/>
          <w:rFonts w:ascii="Book Antiqua" w:hAnsi="Book Antiqua"/>
          <w:sz w:val="20"/>
          <w:szCs w:val="20"/>
        </w:rPr>
        <w:footnoteReference w:id="4"/>
      </w:r>
      <w:r w:rsidRPr="008D01E8">
        <w:rPr>
          <w:rFonts w:ascii="Book Antiqua" w:hAnsi="Book Antiqua"/>
          <w:sz w:val="20"/>
          <w:szCs w:val="20"/>
        </w:rPr>
        <w:t>Ahora bien, corresponde determinar si se trataría de un delito de peligro concreto o de peligro abstracto.</w:t>
      </w:r>
    </w:p>
    <w:p w14:paraId="2C4081D2" w14:textId="5CCEDAA3" w:rsidR="00377ECB" w:rsidRPr="008D01E8" w:rsidRDefault="00377ECB" w:rsidP="00377ECB">
      <w:pPr>
        <w:spacing w:line="240" w:lineRule="auto"/>
        <w:jc w:val="both"/>
        <w:rPr>
          <w:rFonts w:ascii="Book Antiqua" w:hAnsi="Book Antiqua"/>
          <w:sz w:val="20"/>
          <w:szCs w:val="20"/>
        </w:rPr>
      </w:pPr>
      <w:r w:rsidRPr="008D01E8">
        <w:rPr>
          <w:rFonts w:ascii="Book Antiqua" w:hAnsi="Book Antiqua"/>
          <w:sz w:val="20"/>
          <w:szCs w:val="20"/>
        </w:rPr>
        <w:t xml:space="preserve">En los delitos de peligro abstracto, la sola peligrosidad típica de </w:t>
      </w:r>
      <w:r w:rsidR="008D01E8" w:rsidRPr="008D01E8">
        <w:rPr>
          <w:rFonts w:ascii="Book Antiqua" w:hAnsi="Book Antiqua"/>
          <w:sz w:val="20"/>
          <w:szCs w:val="20"/>
        </w:rPr>
        <w:t>u</w:t>
      </w:r>
      <w:r w:rsidRPr="008D01E8">
        <w:rPr>
          <w:rFonts w:ascii="Book Antiqua" w:hAnsi="Book Antiqua"/>
          <w:sz w:val="20"/>
          <w:szCs w:val="20"/>
        </w:rPr>
        <w:t xml:space="preserve">na acción es motivo para su penalización, sin que en el caso concreto se haga depender la punibilidad de la producción real de un peligro, mientras que en los delitos de peligro concreto la realización del tipo presupone </w:t>
      </w:r>
      <w:r w:rsidRPr="008D01E8">
        <w:rPr>
          <w:rFonts w:ascii="Book Antiqua" w:hAnsi="Book Antiqua"/>
          <w:sz w:val="20"/>
          <w:szCs w:val="20"/>
        </w:rPr>
        <w:lastRenderedPageBreak/>
        <w:t>que el objeto de la acción se haya encontrado realmente en peligro en el caso individual, o sea que, si no se produce la afectación, la conducta sea relevante desde el punto de vista penal.</w:t>
      </w:r>
    </w:p>
    <w:p w14:paraId="2DA8B664" w14:textId="3EE8B871" w:rsidR="00591A74" w:rsidRPr="008D01E8" w:rsidRDefault="00377ECB" w:rsidP="008D01E8">
      <w:pPr>
        <w:pStyle w:val="Sinespaciado"/>
        <w:jc w:val="both"/>
      </w:pPr>
      <w:r w:rsidRPr="008D01E8">
        <w:rPr>
          <w:rFonts w:ascii="Book Antiqua" w:hAnsi="Book Antiqua"/>
          <w:sz w:val="20"/>
          <w:szCs w:val="20"/>
        </w:rPr>
        <w:t xml:space="preserve">En el tipo penal, motivo de análisis, considerando que el bien jurídico tutelado es de carácter general, cualquier nivel de interacción podría, de modo abstracto, afectarlo, lo cual en virtud del principio de lesividad no es admisible. En ese sentido, se requiere que la conducta desempeñada por el autor no solo ponga en peligro el bien </w:t>
      </w:r>
      <w:proofErr w:type="gramStart"/>
      <w:r w:rsidRPr="008D01E8">
        <w:rPr>
          <w:rFonts w:ascii="Book Antiqua" w:hAnsi="Book Antiqua"/>
          <w:sz w:val="20"/>
          <w:szCs w:val="20"/>
        </w:rPr>
        <w:t>jurídico</w:t>
      </w:r>
      <w:proofErr w:type="gramEnd"/>
      <w:r w:rsidRPr="008D01E8">
        <w:rPr>
          <w:rFonts w:ascii="Book Antiqua" w:hAnsi="Book Antiqua"/>
          <w:sz w:val="20"/>
          <w:szCs w:val="20"/>
        </w:rPr>
        <w:t xml:space="preserve"> sino que, en el caso </w:t>
      </w:r>
      <w:r w:rsidR="008D01E8" w:rsidRPr="008D01E8">
        <w:rPr>
          <w:rFonts w:ascii="Book Antiqua" w:hAnsi="Book Antiqua"/>
          <w:sz w:val="20"/>
          <w:szCs w:val="20"/>
        </w:rPr>
        <w:t>i</w:t>
      </w:r>
      <w:r w:rsidRPr="008D01E8">
        <w:rPr>
          <w:rFonts w:ascii="Book Antiqua" w:hAnsi="Book Antiqua"/>
          <w:sz w:val="20"/>
          <w:szCs w:val="20"/>
        </w:rPr>
        <w:t>ndividual, la propuesta de ventaja, dadiva o promesa tenga la entidad suficiente de modo que sea idónea para inducir la determinación del voto en un sentido estipulado.</w:t>
      </w:r>
    </w:p>
    <w:p w14:paraId="65C9F288" w14:textId="77777777" w:rsidR="00276466" w:rsidRPr="00E13425" w:rsidRDefault="00276466" w:rsidP="00276466">
      <w:pPr>
        <w:pStyle w:val="Sinespaciado"/>
        <w:rPr>
          <w:highlight w:val="yellow"/>
        </w:rPr>
      </w:pPr>
    </w:p>
    <w:p w14:paraId="4DC92DAF" w14:textId="77777777" w:rsidR="002A669B" w:rsidRPr="00F91F61" w:rsidRDefault="00591A74" w:rsidP="002A669B">
      <w:pPr>
        <w:pStyle w:val="Sinespaciado"/>
        <w:jc w:val="both"/>
        <w:rPr>
          <w:rFonts w:ascii="Book Antiqua" w:eastAsia="Calibri" w:hAnsi="Book Antiqua"/>
          <w:b/>
          <w:bCs/>
          <w:sz w:val="20"/>
          <w:szCs w:val="20"/>
        </w:rPr>
      </w:pPr>
      <w:r w:rsidRPr="00F91F61">
        <w:rPr>
          <w:rFonts w:ascii="Book Antiqua" w:eastAsia="Calibri" w:hAnsi="Book Antiqua"/>
          <w:b/>
          <w:bCs/>
          <w:sz w:val="20"/>
          <w:szCs w:val="20"/>
        </w:rPr>
        <w:t>[Decisión]</w:t>
      </w:r>
    </w:p>
    <w:p w14:paraId="21F376C0" w14:textId="60B1854D" w:rsidR="00B66043" w:rsidRPr="00F91F61" w:rsidRDefault="00B66043" w:rsidP="00B66043">
      <w:pPr>
        <w:pStyle w:val="Sinespaciado"/>
        <w:jc w:val="both"/>
        <w:rPr>
          <w:rFonts w:ascii="Book Antiqua" w:hAnsi="Book Antiqua"/>
          <w:sz w:val="20"/>
          <w:szCs w:val="20"/>
        </w:rPr>
      </w:pPr>
      <w:r w:rsidRPr="00F91F61">
        <w:rPr>
          <w:rFonts w:ascii="Book Antiqua" w:hAnsi="Book Antiqua"/>
          <w:sz w:val="20"/>
          <w:szCs w:val="20"/>
        </w:rPr>
        <w:t xml:space="preserve">Por estos fundamentos declararon: </w:t>
      </w:r>
    </w:p>
    <w:p w14:paraId="1553CDFE" w14:textId="77777777" w:rsidR="008D01E8" w:rsidRPr="00F91F61" w:rsidRDefault="008D01E8" w:rsidP="00B66043">
      <w:pPr>
        <w:pStyle w:val="Sinespaciado"/>
        <w:jc w:val="both"/>
        <w:rPr>
          <w:rFonts w:ascii="Book Antiqua" w:hAnsi="Book Antiqua"/>
          <w:sz w:val="20"/>
          <w:szCs w:val="20"/>
        </w:rPr>
      </w:pPr>
    </w:p>
    <w:p w14:paraId="141F5CEC" w14:textId="5BC72D43" w:rsidR="00B66043" w:rsidRPr="00F91F61" w:rsidRDefault="00B66043" w:rsidP="00B66043">
      <w:pPr>
        <w:pStyle w:val="Sinespaciado"/>
        <w:jc w:val="both"/>
        <w:rPr>
          <w:rFonts w:ascii="Book Antiqua" w:hAnsi="Book Antiqua"/>
          <w:sz w:val="20"/>
          <w:szCs w:val="20"/>
        </w:rPr>
      </w:pPr>
      <w:r w:rsidRPr="00F91F61">
        <w:rPr>
          <w:rFonts w:ascii="Book Antiqua" w:hAnsi="Book Antiqua"/>
          <w:b/>
          <w:bCs/>
          <w:sz w:val="20"/>
          <w:szCs w:val="20"/>
        </w:rPr>
        <w:t>I.</w:t>
      </w:r>
      <w:r w:rsidRPr="00F91F61">
        <w:rPr>
          <w:rFonts w:ascii="Book Antiqua" w:hAnsi="Book Antiqua"/>
          <w:b/>
          <w:bCs/>
          <w:sz w:val="20"/>
          <w:szCs w:val="20"/>
        </w:rPr>
        <w:tab/>
        <w:t xml:space="preserve">     INFUNDADO</w:t>
      </w:r>
      <w:r w:rsidRPr="00F91F61">
        <w:rPr>
          <w:rFonts w:ascii="Book Antiqua" w:hAnsi="Book Antiqua"/>
          <w:sz w:val="20"/>
          <w:szCs w:val="20"/>
        </w:rPr>
        <w:t xml:space="preserve"> el recurso de casación excepcional interpuesto por la defensa técnica del acusado Cesar Acuña Peralta sobre errónea interpretación de la ley penal o de otras normas jurídicas necesarias para su aplicación respecto de la naturaleza jurídica de los elementos de convicción y su suficiencia en la acusación fiscal; y, el análisis típico del delito de inducción al voto; en consecuencia, </w:t>
      </w:r>
      <w:r w:rsidRPr="00F91F61">
        <w:rPr>
          <w:rFonts w:ascii="Book Antiqua" w:hAnsi="Book Antiqua"/>
          <w:b/>
          <w:bCs/>
          <w:sz w:val="20"/>
          <w:szCs w:val="20"/>
        </w:rPr>
        <w:t>NO CASARON</w:t>
      </w:r>
      <w:r w:rsidRPr="00F91F61">
        <w:rPr>
          <w:rFonts w:ascii="Book Antiqua" w:hAnsi="Book Antiqua"/>
          <w:sz w:val="20"/>
          <w:szCs w:val="20"/>
        </w:rPr>
        <w:t xml:space="preserve"> la resolución de vista número veintiséis del veinte de abril del dos mil dieciséis - fojas cuatrocientos treinta  y ocho — que:  i) Revocó la resolución </w:t>
      </w:r>
      <w:proofErr w:type="spellStart"/>
      <w:r w:rsidRPr="00F91F61">
        <w:rPr>
          <w:rFonts w:ascii="Book Antiqua" w:hAnsi="Book Antiqua"/>
          <w:sz w:val="20"/>
          <w:szCs w:val="20"/>
        </w:rPr>
        <w:t>N</w:t>
      </w:r>
      <w:r w:rsidR="00E81EC1">
        <w:rPr>
          <w:rFonts w:ascii="Book Antiqua" w:hAnsi="Book Antiqua"/>
          <w:sz w:val="20"/>
          <w:szCs w:val="20"/>
        </w:rPr>
        <w:t>°</w:t>
      </w:r>
      <w:proofErr w:type="spellEnd"/>
      <w:r w:rsidRPr="00F91F61">
        <w:rPr>
          <w:rFonts w:ascii="Book Antiqua" w:hAnsi="Book Antiqua"/>
          <w:sz w:val="20"/>
          <w:szCs w:val="20"/>
        </w:rPr>
        <w:t xml:space="preserve"> 17, de fecha diecisiete de setiembre del año dos mil quince, en el extremo que declara  fundado  el  sobreseimiento planteado por la defensa del acusado  Cesar  Acuña peralta, en relación al delito de Falsedad Genérica, en agravio del Jurado Nacional de Elecciones, reformándolo declararon infundado el sobreseimiento y dispusieron la continuación del proceso según el estado en que se encuentre; </w:t>
      </w:r>
      <w:proofErr w:type="spellStart"/>
      <w:r w:rsidRPr="00F91F61">
        <w:rPr>
          <w:rFonts w:ascii="Book Antiqua" w:hAnsi="Book Antiqua"/>
          <w:sz w:val="20"/>
          <w:szCs w:val="20"/>
        </w:rPr>
        <w:t>ii</w:t>
      </w:r>
      <w:proofErr w:type="spellEnd"/>
      <w:r w:rsidRPr="00F91F61">
        <w:rPr>
          <w:rFonts w:ascii="Book Antiqua" w:hAnsi="Book Antiqua"/>
          <w:sz w:val="20"/>
          <w:szCs w:val="20"/>
        </w:rPr>
        <w:t xml:space="preserve">) Confirmaron la referida resolución en el extremo que declara improcedente el Ne Bis In </w:t>
      </w:r>
      <w:proofErr w:type="spellStart"/>
      <w:r w:rsidRPr="00F91F61">
        <w:rPr>
          <w:rFonts w:ascii="Book Antiqua" w:hAnsi="Book Antiqua"/>
          <w:sz w:val="20"/>
          <w:szCs w:val="20"/>
        </w:rPr>
        <w:t>ldern</w:t>
      </w:r>
      <w:proofErr w:type="spellEnd"/>
      <w:r w:rsidRPr="00F91F61">
        <w:rPr>
          <w:rFonts w:ascii="Book Antiqua" w:hAnsi="Book Antiqua"/>
          <w:sz w:val="20"/>
          <w:szCs w:val="20"/>
        </w:rPr>
        <w:t xml:space="preserve">, Infundada la Excepción de Improcedencia de Acción, Infundado el Sobreseimiento en relación al delito de Inducción al Voto, seguido contra los acusados Cesar Acuña Peralta y Tania Soledad Baca Romero en agravio del Jurado Nacional de Elecciones. </w:t>
      </w:r>
    </w:p>
    <w:p w14:paraId="123C93EB" w14:textId="77777777" w:rsidR="00B66043" w:rsidRPr="00F91F61" w:rsidRDefault="00B66043" w:rsidP="00B66043">
      <w:pPr>
        <w:pStyle w:val="Sinespaciado"/>
        <w:jc w:val="both"/>
        <w:rPr>
          <w:rFonts w:ascii="Book Antiqua" w:hAnsi="Book Antiqua"/>
          <w:sz w:val="20"/>
          <w:szCs w:val="20"/>
        </w:rPr>
      </w:pPr>
      <w:r w:rsidRPr="00F91F61">
        <w:rPr>
          <w:rFonts w:ascii="Book Antiqua" w:hAnsi="Book Antiqua"/>
          <w:b/>
          <w:bCs/>
          <w:sz w:val="20"/>
          <w:szCs w:val="20"/>
        </w:rPr>
        <w:t>II.</w:t>
      </w:r>
      <w:r w:rsidRPr="00F91F61">
        <w:rPr>
          <w:rFonts w:ascii="Book Antiqua" w:hAnsi="Book Antiqua"/>
          <w:b/>
          <w:bCs/>
          <w:sz w:val="20"/>
          <w:szCs w:val="20"/>
        </w:rPr>
        <w:tab/>
        <w:t xml:space="preserve"> </w:t>
      </w:r>
      <w:r w:rsidRPr="00F91F61">
        <w:rPr>
          <w:rFonts w:ascii="Book Antiqua" w:hAnsi="Book Antiqua"/>
          <w:b/>
          <w:bCs/>
          <w:sz w:val="20"/>
          <w:szCs w:val="20"/>
        </w:rPr>
        <w:tab/>
        <w:t>IMPUSIERON</w:t>
      </w:r>
      <w:r w:rsidRPr="00F91F61">
        <w:rPr>
          <w:rFonts w:ascii="Book Antiqua" w:hAnsi="Book Antiqua"/>
          <w:sz w:val="20"/>
          <w:szCs w:val="20"/>
        </w:rPr>
        <w:t xml:space="preserve"> el pago de las costas por la tramitación del recurso de casación interpuesto por el acusado Cesar Acuña Peralta, las que serán exigidas por el Juez de la Investigación Preparatoria, de conformidad con el artículo 506 del Código Procesal Penal. </w:t>
      </w:r>
    </w:p>
    <w:p w14:paraId="39034B1B" w14:textId="77777777" w:rsidR="00B66043" w:rsidRPr="00F91F61" w:rsidRDefault="00B66043" w:rsidP="00B66043">
      <w:pPr>
        <w:pStyle w:val="Sinespaciado"/>
        <w:jc w:val="both"/>
        <w:rPr>
          <w:rFonts w:ascii="Book Antiqua" w:hAnsi="Book Antiqua"/>
          <w:sz w:val="20"/>
          <w:szCs w:val="20"/>
        </w:rPr>
      </w:pPr>
      <w:r w:rsidRPr="00F91F61">
        <w:rPr>
          <w:rFonts w:ascii="Book Antiqua" w:hAnsi="Book Antiqua"/>
          <w:b/>
          <w:bCs/>
          <w:sz w:val="20"/>
          <w:szCs w:val="20"/>
        </w:rPr>
        <w:t xml:space="preserve">III. </w:t>
      </w:r>
      <w:r w:rsidRPr="00F91F61">
        <w:rPr>
          <w:rFonts w:ascii="Book Antiqua" w:hAnsi="Book Antiqua"/>
          <w:b/>
          <w:bCs/>
          <w:sz w:val="20"/>
          <w:szCs w:val="20"/>
        </w:rPr>
        <w:tab/>
        <w:t>ESTABLECIERON</w:t>
      </w:r>
      <w:r w:rsidRPr="00F91F61">
        <w:rPr>
          <w:rFonts w:ascii="Book Antiqua" w:hAnsi="Book Antiqua"/>
          <w:sz w:val="20"/>
          <w:szCs w:val="20"/>
        </w:rPr>
        <w:t xml:space="preserve"> como doctrina jurisprudencial el fundamento jurídico de la presente sentencia </w:t>
      </w:r>
      <w:proofErr w:type="spellStart"/>
      <w:r w:rsidRPr="00F91F61">
        <w:rPr>
          <w:rFonts w:ascii="Book Antiqua" w:hAnsi="Book Antiqua"/>
          <w:sz w:val="20"/>
          <w:szCs w:val="20"/>
        </w:rPr>
        <w:t>casatoria</w:t>
      </w:r>
      <w:proofErr w:type="spellEnd"/>
      <w:r w:rsidRPr="00F91F61">
        <w:rPr>
          <w:rFonts w:ascii="Book Antiqua" w:hAnsi="Book Antiqua"/>
          <w:sz w:val="20"/>
          <w:szCs w:val="20"/>
        </w:rPr>
        <w:t xml:space="preserve">, del décimo quinto al trigésimo quinto fundamento relacionados con naturaleza jurídica de los elementos convicción y su suficiencia en la acusación fiscal; y, el análisis típico del delito de inducción al voto. </w:t>
      </w:r>
    </w:p>
    <w:p w14:paraId="4E650F25" w14:textId="77777777" w:rsidR="00B66043" w:rsidRPr="00F91F61" w:rsidRDefault="00B66043" w:rsidP="00B66043">
      <w:pPr>
        <w:pStyle w:val="Sinespaciado"/>
        <w:jc w:val="both"/>
        <w:rPr>
          <w:rFonts w:ascii="Book Antiqua" w:hAnsi="Book Antiqua"/>
          <w:sz w:val="20"/>
          <w:szCs w:val="20"/>
        </w:rPr>
      </w:pPr>
      <w:r w:rsidRPr="00F91F61">
        <w:rPr>
          <w:rFonts w:ascii="Book Antiqua" w:hAnsi="Book Antiqua"/>
          <w:b/>
          <w:bCs/>
          <w:sz w:val="20"/>
          <w:szCs w:val="20"/>
        </w:rPr>
        <w:t xml:space="preserve">IV. </w:t>
      </w:r>
      <w:r w:rsidRPr="00F91F61">
        <w:rPr>
          <w:rFonts w:ascii="Book Antiqua" w:hAnsi="Book Antiqua"/>
          <w:b/>
          <w:bCs/>
          <w:sz w:val="20"/>
          <w:szCs w:val="20"/>
        </w:rPr>
        <w:tab/>
        <w:t>DISPUSIERON</w:t>
      </w:r>
      <w:r w:rsidRPr="00F91F61">
        <w:rPr>
          <w:rFonts w:ascii="Book Antiqua" w:hAnsi="Book Antiqua"/>
          <w:sz w:val="20"/>
          <w:szCs w:val="20"/>
        </w:rPr>
        <w:t xml:space="preserve"> que se dé lectura de la presente sentencia </w:t>
      </w:r>
      <w:proofErr w:type="spellStart"/>
      <w:r w:rsidRPr="00F91F61">
        <w:rPr>
          <w:rFonts w:ascii="Book Antiqua" w:hAnsi="Book Antiqua"/>
          <w:sz w:val="20"/>
          <w:szCs w:val="20"/>
        </w:rPr>
        <w:t>casatoria</w:t>
      </w:r>
      <w:proofErr w:type="spellEnd"/>
      <w:r w:rsidRPr="00F91F61">
        <w:rPr>
          <w:rFonts w:ascii="Book Antiqua" w:hAnsi="Book Antiqua"/>
          <w:sz w:val="20"/>
          <w:szCs w:val="20"/>
        </w:rPr>
        <w:t xml:space="preserve"> en audiencia pública y se publique en el Diario Oficial "El Peruano", de conformidad con lo previsto en el numeral tres del artículo cuatrocientos treinta y tres del Código Procesal Penal. </w:t>
      </w:r>
    </w:p>
    <w:p w14:paraId="1602CB19" w14:textId="4B1235C8" w:rsidR="00B66043" w:rsidRDefault="00B66043" w:rsidP="00B66043">
      <w:pPr>
        <w:pStyle w:val="Sinespaciado"/>
        <w:jc w:val="both"/>
        <w:rPr>
          <w:rFonts w:ascii="Book Antiqua" w:hAnsi="Book Antiqua"/>
          <w:sz w:val="20"/>
          <w:szCs w:val="20"/>
        </w:rPr>
      </w:pPr>
      <w:r w:rsidRPr="00F91F61">
        <w:rPr>
          <w:rFonts w:ascii="Book Antiqua" w:hAnsi="Book Antiqua"/>
          <w:b/>
          <w:bCs/>
          <w:sz w:val="20"/>
          <w:szCs w:val="20"/>
        </w:rPr>
        <w:t xml:space="preserve"> </w:t>
      </w:r>
      <w:proofErr w:type="gramStart"/>
      <w:r w:rsidRPr="00F91F61">
        <w:rPr>
          <w:rFonts w:ascii="Book Antiqua" w:hAnsi="Book Antiqua"/>
          <w:b/>
          <w:bCs/>
          <w:sz w:val="20"/>
          <w:szCs w:val="20"/>
        </w:rPr>
        <w:t xml:space="preserve">V. </w:t>
      </w:r>
      <w:r w:rsidRPr="00F91F61">
        <w:rPr>
          <w:rFonts w:ascii="Book Antiqua" w:hAnsi="Book Antiqua"/>
          <w:b/>
          <w:bCs/>
          <w:sz w:val="20"/>
          <w:szCs w:val="20"/>
        </w:rPr>
        <w:tab/>
        <w:t>MANDARON</w:t>
      </w:r>
      <w:proofErr w:type="gramEnd"/>
      <w:r w:rsidRPr="00F91F61">
        <w:rPr>
          <w:rFonts w:ascii="Book Antiqua" w:hAnsi="Book Antiqua"/>
          <w:sz w:val="20"/>
          <w:szCs w:val="20"/>
        </w:rPr>
        <w:t xml:space="preserve"> que, cumplidos estos trámites, se devuelva el proceso al órgano jurisdiccional de origen, se continúe conforme la etapa procesal correspondiente, y se archive el cuaderno de casación en esta Corte Suprema. Hágase saber. Interviene la Señora Jueza Suprema Chávez Mella por periodo vacacional del Señor Juez Supremo Villa </w:t>
      </w:r>
      <w:proofErr w:type="gramStart"/>
      <w:r w:rsidRPr="00F91F61">
        <w:rPr>
          <w:rFonts w:ascii="Book Antiqua" w:hAnsi="Book Antiqua"/>
          <w:sz w:val="20"/>
          <w:szCs w:val="20"/>
        </w:rPr>
        <w:t>Stein.-</w:t>
      </w:r>
      <w:proofErr w:type="gramEnd"/>
    </w:p>
    <w:p w14:paraId="14A60F74" w14:textId="77777777" w:rsidR="008D01E8" w:rsidRPr="00377ECB" w:rsidRDefault="008D01E8" w:rsidP="00B66043">
      <w:pPr>
        <w:pStyle w:val="Sinespaciado"/>
        <w:jc w:val="both"/>
        <w:rPr>
          <w:rFonts w:ascii="Book Antiqua" w:hAnsi="Book Antiqua"/>
          <w:sz w:val="20"/>
          <w:szCs w:val="20"/>
        </w:rPr>
      </w:pPr>
    </w:p>
    <w:p w14:paraId="04362A98" w14:textId="77777777" w:rsidR="00B66043" w:rsidRPr="00377ECB" w:rsidRDefault="00B66043" w:rsidP="00B66043">
      <w:pPr>
        <w:pStyle w:val="Sinespaciado"/>
        <w:jc w:val="both"/>
        <w:rPr>
          <w:rFonts w:ascii="Book Antiqua" w:hAnsi="Book Antiqua"/>
          <w:sz w:val="20"/>
          <w:szCs w:val="20"/>
        </w:rPr>
      </w:pPr>
      <w:r w:rsidRPr="00377ECB">
        <w:rPr>
          <w:rFonts w:ascii="Book Antiqua" w:hAnsi="Book Antiqua"/>
          <w:sz w:val="20"/>
          <w:szCs w:val="20"/>
        </w:rPr>
        <w:t>S.S.</w:t>
      </w:r>
    </w:p>
    <w:p w14:paraId="2D0CB8A6" w14:textId="77777777" w:rsidR="00B66043" w:rsidRPr="00377ECB" w:rsidRDefault="00B66043" w:rsidP="00B66043">
      <w:pPr>
        <w:pStyle w:val="Sinespaciado"/>
        <w:jc w:val="both"/>
        <w:rPr>
          <w:rFonts w:ascii="Book Antiqua" w:hAnsi="Book Antiqua"/>
          <w:sz w:val="20"/>
          <w:szCs w:val="20"/>
        </w:rPr>
      </w:pPr>
      <w:r w:rsidRPr="00377ECB">
        <w:rPr>
          <w:rFonts w:ascii="Book Antiqua" w:hAnsi="Book Antiqua"/>
          <w:sz w:val="20"/>
          <w:szCs w:val="20"/>
        </w:rPr>
        <w:t>PARIONA PASTRANA</w:t>
      </w:r>
    </w:p>
    <w:p w14:paraId="5C149151" w14:textId="77777777" w:rsidR="00B66043" w:rsidRPr="00377ECB" w:rsidRDefault="00B66043" w:rsidP="00B66043">
      <w:pPr>
        <w:pStyle w:val="Sinespaciado"/>
        <w:jc w:val="both"/>
        <w:rPr>
          <w:rFonts w:ascii="Book Antiqua" w:hAnsi="Book Antiqua"/>
          <w:sz w:val="20"/>
          <w:szCs w:val="20"/>
        </w:rPr>
      </w:pPr>
      <w:r w:rsidRPr="00377ECB">
        <w:rPr>
          <w:rFonts w:ascii="Book Antiqua" w:hAnsi="Book Antiqua"/>
          <w:sz w:val="20"/>
          <w:szCs w:val="20"/>
        </w:rPr>
        <w:t>NEYRA FLORES</w:t>
      </w:r>
    </w:p>
    <w:p w14:paraId="1C17C88A" w14:textId="77777777" w:rsidR="00B66043" w:rsidRPr="00377ECB" w:rsidRDefault="00B66043" w:rsidP="00B66043">
      <w:pPr>
        <w:pStyle w:val="Sinespaciado"/>
        <w:jc w:val="both"/>
        <w:rPr>
          <w:rFonts w:ascii="Book Antiqua" w:hAnsi="Book Antiqua"/>
          <w:sz w:val="20"/>
          <w:szCs w:val="20"/>
        </w:rPr>
      </w:pPr>
      <w:r w:rsidRPr="00377ECB">
        <w:rPr>
          <w:rFonts w:ascii="Book Antiqua" w:hAnsi="Book Antiqua"/>
          <w:sz w:val="20"/>
          <w:szCs w:val="20"/>
        </w:rPr>
        <w:t>SEQUEIROS VARGAS</w:t>
      </w:r>
    </w:p>
    <w:p w14:paraId="57751020" w14:textId="77777777" w:rsidR="00B66043" w:rsidRPr="008D01E8" w:rsidRDefault="00B66043" w:rsidP="00B66043">
      <w:pPr>
        <w:pStyle w:val="Sinespaciado"/>
        <w:jc w:val="both"/>
        <w:rPr>
          <w:rFonts w:ascii="Book Antiqua" w:hAnsi="Book Antiqua"/>
          <w:b/>
          <w:bCs/>
          <w:sz w:val="20"/>
          <w:szCs w:val="20"/>
        </w:rPr>
      </w:pPr>
      <w:r w:rsidRPr="008D01E8">
        <w:rPr>
          <w:rFonts w:ascii="Book Antiqua" w:hAnsi="Book Antiqua"/>
          <w:b/>
          <w:bCs/>
          <w:sz w:val="20"/>
          <w:szCs w:val="20"/>
        </w:rPr>
        <w:t>FIGUEROA NAVARRO</w:t>
      </w:r>
    </w:p>
    <w:p w14:paraId="40F88C18" w14:textId="77777777" w:rsidR="00B66043" w:rsidRPr="00B66043" w:rsidRDefault="00B66043" w:rsidP="00B66043">
      <w:pPr>
        <w:pStyle w:val="Sinespaciado"/>
        <w:jc w:val="both"/>
        <w:rPr>
          <w:rFonts w:ascii="Book Antiqua" w:hAnsi="Book Antiqua"/>
          <w:sz w:val="20"/>
          <w:szCs w:val="20"/>
        </w:rPr>
      </w:pPr>
      <w:r w:rsidRPr="00B66043">
        <w:rPr>
          <w:rFonts w:ascii="Book Antiqua" w:hAnsi="Book Antiqua"/>
          <w:sz w:val="20"/>
          <w:szCs w:val="20"/>
        </w:rPr>
        <w:t>CHÁVEZ MELLA</w:t>
      </w:r>
    </w:p>
    <w:p w14:paraId="2DA8B67B" w14:textId="395F8EBB" w:rsidR="00BF3B36" w:rsidRPr="00CC633A" w:rsidRDefault="00BF3B36" w:rsidP="00B66043">
      <w:pPr>
        <w:pStyle w:val="Sinespaciado"/>
        <w:jc w:val="both"/>
        <w:rPr>
          <w:rFonts w:ascii="Book Antiqua" w:hAnsi="Book Antiqua"/>
          <w:sz w:val="20"/>
          <w:szCs w:val="20"/>
        </w:rPr>
      </w:pPr>
    </w:p>
    <w:sectPr w:rsidR="00BF3B36" w:rsidRPr="00CC633A">
      <w:headerReference w:type="even" r:id="rId8"/>
      <w:footerReference w:type="even" r:id="rId9"/>
      <w:footerReference w:type="default" r:id="rId10"/>
      <w:headerReference w:type="first" r:id="rId11"/>
      <w:footerReference w:type="firs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20A39FC" w14:textId="77777777" w:rsidR="00094607" w:rsidRDefault="00094607" w:rsidP="00591A74">
      <w:pPr>
        <w:spacing w:after="0" w:line="240" w:lineRule="auto"/>
      </w:pPr>
      <w:r>
        <w:separator/>
      </w:r>
    </w:p>
  </w:endnote>
  <w:endnote w:type="continuationSeparator" w:id="0">
    <w:p w14:paraId="110A420C" w14:textId="77777777" w:rsidR="00094607" w:rsidRDefault="00094607" w:rsidP="00591A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altName w:val="Century Gothic"/>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Book Antiqua">
    <w:altName w:val="Book Antiqua"/>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6F8E4F" w14:textId="77777777" w:rsidR="00617ECD" w:rsidRPr="00597063" w:rsidRDefault="00617ECD">
    <w:pPr>
      <w:spacing w:after="0" w:line="259" w:lineRule="auto"/>
      <w:ind w:left="389"/>
      <w:jc w:val="center"/>
      <w:rPr>
        <w:rFonts w:ascii="Century Gothic" w:hAnsi="Century Gothic"/>
        <w:sz w:val="24"/>
        <w:szCs w:val="24"/>
      </w:rPr>
    </w:pPr>
    <w:r w:rsidRPr="00597063">
      <w:rPr>
        <w:rFonts w:ascii="Century Gothic" w:hAnsi="Century Gothic"/>
        <w:sz w:val="24"/>
        <w:szCs w:val="24"/>
      </w:rPr>
      <w:fldChar w:fldCharType="begin"/>
    </w:r>
    <w:r w:rsidRPr="00597063">
      <w:rPr>
        <w:rFonts w:ascii="Century Gothic" w:hAnsi="Century Gothic"/>
        <w:sz w:val="24"/>
        <w:szCs w:val="24"/>
      </w:rPr>
      <w:instrText xml:space="preserve"> PAGE   \* MERGEFORMAT </w:instrText>
    </w:r>
    <w:r w:rsidRPr="00597063">
      <w:rPr>
        <w:rFonts w:ascii="Century Gothic" w:hAnsi="Century Gothic"/>
        <w:sz w:val="24"/>
        <w:szCs w:val="24"/>
      </w:rPr>
      <w:fldChar w:fldCharType="separate"/>
    </w:r>
    <w:r>
      <w:rPr>
        <w:rFonts w:ascii="Century Gothic" w:hAnsi="Century Gothic"/>
        <w:noProof/>
        <w:sz w:val="24"/>
        <w:szCs w:val="24"/>
      </w:rPr>
      <w:t>22</w:t>
    </w:r>
    <w:r w:rsidRPr="00597063">
      <w:rPr>
        <w:rFonts w:ascii="Century Gothic" w:hAnsi="Century Gothic"/>
        <w:sz w:val="24"/>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8BB7F3" w14:textId="77777777" w:rsidR="00617ECD" w:rsidRDefault="00617ECD">
    <w:pPr>
      <w:spacing w:after="0" w:line="259" w:lineRule="auto"/>
      <w:ind w:left="389"/>
      <w:jc w:val="center"/>
    </w:pPr>
    <w:r>
      <w:rPr>
        <w:sz w:val="28"/>
      </w:rPr>
      <w:fldChar w:fldCharType="begin"/>
    </w:r>
    <w:r>
      <w:instrText xml:space="preserve"> PAGE   \* MERGEFORMAT </w:instrText>
    </w:r>
    <w:r>
      <w:rPr>
        <w:sz w:val="28"/>
      </w:rPr>
      <w:fldChar w:fldCharType="separate"/>
    </w:r>
    <w:r w:rsidR="00BD7F86" w:rsidRPr="00BD7F86">
      <w:rPr>
        <w:noProof/>
        <w:sz w:val="34"/>
      </w:rPr>
      <w:t>4</w:t>
    </w:r>
    <w:r>
      <w:rPr>
        <w:sz w:val="34"/>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09E5D3" w14:textId="77777777" w:rsidR="00617ECD" w:rsidRDefault="00617ECD">
    <w:pPr>
      <w:spacing w:after="0" w:line="259" w:lineRule="auto"/>
      <w:ind w:left="389"/>
      <w:jc w:val="center"/>
    </w:pPr>
    <w:r>
      <w:rPr>
        <w:sz w:val="28"/>
      </w:rPr>
      <w:fldChar w:fldCharType="begin"/>
    </w:r>
    <w:r>
      <w:instrText xml:space="preserve"> PAGE   \* MERGEFORMAT </w:instrText>
    </w:r>
    <w:r>
      <w:rPr>
        <w:sz w:val="28"/>
      </w:rPr>
      <w:fldChar w:fldCharType="separate"/>
    </w:r>
    <w:r>
      <w:rPr>
        <w:sz w:val="34"/>
      </w:rPr>
      <w:t>1</w:t>
    </w:r>
    <w:r>
      <w:rPr>
        <w:sz w:val="3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6B633D9" w14:textId="77777777" w:rsidR="00094607" w:rsidRDefault="00094607" w:rsidP="00591A74">
      <w:pPr>
        <w:spacing w:after="0" w:line="240" w:lineRule="auto"/>
      </w:pPr>
      <w:r>
        <w:separator/>
      </w:r>
    </w:p>
  </w:footnote>
  <w:footnote w:type="continuationSeparator" w:id="0">
    <w:p w14:paraId="3C6787DD" w14:textId="77777777" w:rsidR="00094607" w:rsidRDefault="00094607" w:rsidP="00591A74">
      <w:pPr>
        <w:spacing w:after="0" w:line="240" w:lineRule="auto"/>
      </w:pPr>
      <w:r>
        <w:continuationSeparator/>
      </w:r>
    </w:p>
  </w:footnote>
  <w:footnote w:id="1">
    <w:p w14:paraId="3F74E14E" w14:textId="1AED2913" w:rsidR="00FA6AF7" w:rsidRDefault="00FA6AF7">
      <w:pPr>
        <w:pStyle w:val="Textonotapie"/>
      </w:pPr>
      <w:r>
        <w:rPr>
          <w:rStyle w:val="Refdenotaalpie"/>
        </w:rPr>
        <w:footnoteRef/>
      </w:r>
      <w:r>
        <w:t xml:space="preserve"> SAN MARTÍN CASTRO, Cesar E., Acerca de la Función Del Juez De La Investigación Preparatoria, p. 25. Tomado de: http://www.incipp.org.pe/archivos/publicaciones/funciondeljuez.pdf</w:t>
      </w:r>
    </w:p>
  </w:footnote>
  <w:footnote w:id="2">
    <w:p w14:paraId="27B471D9" w14:textId="1A067322" w:rsidR="00592D6A" w:rsidRDefault="00E81EC1" w:rsidP="00C066A0">
      <w:pPr>
        <w:pStyle w:val="Textonotapie"/>
        <w:tabs>
          <w:tab w:val="left" w:pos="3007"/>
        </w:tabs>
      </w:pPr>
      <w:r w:rsidRPr="00E81EC1">
        <w:rPr>
          <w:rStyle w:val="Refdenotaalpie"/>
        </w:rPr>
        <w:t>2</w:t>
      </w:r>
      <w:r>
        <w:t xml:space="preserve">. </w:t>
      </w:r>
      <w:r w:rsidR="00C066A0">
        <w:t xml:space="preserve">Sentencia del Pleno del Tribunal Constitucional del 02 de febrero del 2006. </w:t>
      </w:r>
      <w:bookmarkStart w:id="2" w:name="_Hlk49532063"/>
      <w:r w:rsidR="00C066A0">
        <w:t>EXP. N. ° 0030-2005-PI/TC Fundamentos Jurídicos 22-23.</w:t>
      </w:r>
    </w:p>
    <w:bookmarkEnd w:id="2"/>
  </w:footnote>
  <w:footnote w:id="3">
    <w:p w14:paraId="33E50099" w14:textId="50297EA0" w:rsidR="00C066A0" w:rsidRDefault="00C066A0">
      <w:pPr>
        <w:pStyle w:val="Textonotapie"/>
      </w:pPr>
      <w:r>
        <w:rPr>
          <w:rStyle w:val="Refdenotaalpie"/>
        </w:rPr>
        <w:footnoteRef/>
      </w:r>
      <w:r>
        <w:t xml:space="preserve">  Ejecutoria Suprema </w:t>
      </w:r>
      <w:bookmarkStart w:id="3" w:name="_Hlk49532014"/>
      <w:r>
        <w:t xml:space="preserve">Casación </w:t>
      </w:r>
      <w:proofErr w:type="spellStart"/>
      <w:r>
        <w:t>N°</w:t>
      </w:r>
      <w:proofErr w:type="spellEnd"/>
      <w:r w:rsidR="00D674CB">
        <w:t xml:space="preserve"> </w:t>
      </w:r>
      <w:r>
        <w:t>348</w:t>
      </w:r>
      <w:r w:rsidR="00D674CB">
        <w:t>-2015-Huanúco-Sala Penal Transitoria</w:t>
      </w:r>
      <w:bookmarkEnd w:id="3"/>
      <w:r w:rsidR="00D674CB">
        <w:t>. Fundamento Jurídico Cuarto, apartado b).</w:t>
      </w:r>
    </w:p>
  </w:footnote>
  <w:footnote w:id="4">
    <w:p w14:paraId="22D26B26" w14:textId="0F96B55C" w:rsidR="00021B01" w:rsidRDefault="00021B01">
      <w:pPr>
        <w:pStyle w:val="Textonotapie"/>
      </w:pPr>
      <w:r>
        <w:rPr>
          <w:rStyle w:val="Refdenotaalpie"/>
        </w:rPr>
        <w:footnoteRef/>
      </w:r>
      <w:r>
        <w:t xml:space="preserve"> Roxin, Claus. Derecho Penal – Parte General, Tomo I; </w:t>
      </w:r>
      <w:proofErr w:type="spellStart"/>
      <w:r>
        <w:t>Civitas</w:t>
      </w:r>
      <w:proofErr w:type="spellEnd"/>
      <w:r>
        <w:t>; Madrid, 1997; p. 336.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850D70" w14:textId="77777777" w:rsidR="00617ECD" w:rsidRPr="00B17B15" w:rsidRDefault="00617ECD" w:rsidP="00DD147D">
    <w:pPr>
      <w:spacing w:after="0" w:line="259" w:lineRule="auto"/>
      <w:ind w:right="581"/>
      <w:jc w:val="right"/>
      <w:rPr>
        <w:rFonts w:ascii="Century Gothic" w:hAnsi="Century Gothic" w:cstheme="minorHAnsi"/>
        <w:b/>
        <w:sz w:val="24"/>
        <w:szCs w:val="24"/>
      </w:rPr>
    </w:pPr>
    <w:r w:rsidRPr="00B17B15">
      <w:rPr>
        <w:rFonts w:ascii="Century Gothic" w:hAnsi="Century Gothic" w:cstheme="minorHAnsi"/>
        <w:b/>
        <w:sz w:val="24"/>
        <w:szCs w:val="24"/>
      </w:rPr>
      <w:t>CORTE SUPREMA DE JUSTICIA     SALA PENAL PERMANENTE</w:t>
    </w:r>
  </w:p>
  <w:p w14:paraId="2E617A40" w14:textId="77777777" w:rsidR="00617ECD" w:rsidRPr="00B17B15" w:rsidRDefault="00617ECD" w:rsidP="00DD147D">
    <w:pPr>
      <w:tabs>
        <w:tab w:val="center" w:pos="3814"/>
        <w:tab w:val="center" w:pos="7085"/>
      </w:tabs>
      <w:spacing w:after="0" w:line="259" w:lineRule="auto"/>
      <w:rPr>
        <w:rFonts w:ascii="Century Gothic" w:hAnsi="Century Gothic" w:cstheme="minorHAnsi"/>
        <w:b/>
        <w:sz w:val="24"/>
        <w:szCs w:val="24"/>
      </w:rPr>
    </w:pPr>
    <w:r w:rsidRPr="00B17B15">
      <w:rPr>
        <w:rFonts w:ascii="Century Gothic" w:hAnsi="Century Gothic" w:cstheme="minorHAnsi"/>
        <w:b/>
        <w:sz w:val="24"/>
        <w:szCs w:val="24"/>
      </w:rPr>
      <w:t xml:space="preserve">    </w:t>
    </w:r>
    <w:r>
      <w:rPr>
        <w:rFonts w:ascii="Century Gothic" w:hAnsi="Century Gothic" w:cstheme="minorHAnsi"/>
        <w:b/>
        <w:sz w:val="24"/>
        <w:szCs w:val="24"/>
      </w:rPr>
      <w:t xml:space="preserve">                           </w:t>
    </w:r>
    <w:r w:rsidRPr="00B17B15">
      <w:rPr>
        <w:rFonts w:ascii="Century Gothic" w:hAnsi="Century Gothic" w:cstheme="minorHAnsi"/>
        <w:b/>
        <w:sz w:val="24"/>
        <w:szCs w:val="24"/>
      </w:rPr>
      <w:t xml:space="preserve">DE LA REPÚBLICA       </w:t>
    </w:r>
    <w:r>
      <w:rPr>
        <w:rFonts w:ascii="Century Gothic" w:hAnsi="Century Gothic" w:cstheme="minorHAnsi"/>
        <w:b/>
        <w:sz w:val="24"/>
        <w:szCs w:val="24"/>
      </w:rPr>
      <w:t xml:space="preserve">                   CASACIÓN N</w:t>
    </w:r>
    <w:r w:rsidRPr="00B17B15">
      <w:rPr>
        <w:rFonts w:ascii="Century Gothic" w:hAnsi="Century Gothic" w:cstheme="minorHAnsi"/>
        <w:b/>
        <w:sz w:val="24"/>
        <w:szCs w:val="24"/>
        <w:vertAlign w:val="superscript"/>
      </w:rPr>
      <w:t>0</w:t>
    </w:r>
    <w:r>
      <w:rPr>
        <w:rFonts w:ascii="Century Gothic" w:hAnsi="Century Gothic" w:cstheme="minorHAnsi"/>
        <w:b/>
        <w:sz w:val="24"/>
        <w:szCs w:val="24"/>
        <w:vertAlign w:val="superscript"/>
      </w:rPr>
      <w:t xml:space="preserve"> </w:t>
    </w:r>
    <w:r w:rsidRPr="00B17B15">
      <w:rPr>
        <w:rFonts w:ascii="Century Gothic" w:hAnsi="Century Gothic" w:cstheme="minorHAnsi"/>
        <w:b/>
        <w:sz w:val="24"/>
        <w:szCs w:val="24"/>
      </w:rPr>
      <w:t>736-2016</w:t>
    </w:r>
  </w:p>
  <w:p w14:paraId="6C9BA6C4" w14:textId="77777777" w:rsidR="00617ECD" w:rsidRPr="00B17B15" w:rsidRDefault="00617ECD" w:rsidP="00DD147D">
    <w:pPr>
      <w:spacing w:after="0" w:line="259" w:lineRule="auto"/>
      <w:ind w:left="3859"/>
      <w:rPr>
        <w:rFonts w:ascii="Century Gothic" w:hAnsi="Century Gothic" w:cstheme="minorHAnsi"/>
        <w:b/>
        <w:sz w:val="24"/>
        <w:szCs w:val="24"/>
      </w:rPr>
    </w:pPr>
    <w:r w:rsidRPr="00B17B15">
      <w:rPr>
        <w:rFonts w:ascii="Century Gothic" w:hAnsi="Century Gothic" w:cstheme="minorHAnsi"/>
        <w:b/>
        <w:sz w:val="24"/>
        <w:szCs w:val="24"/>
      </w:rPr>
      <w:t xml:space="preserve">                            ANCASH</w:t>
    </w:r>
  </w:p>
  <w:p w14:paraId="2A598BEA" w14:textId="77777777" w:rsidR="00617ECD" w:rsidRPr="00DD147D" w:rsidRDefault="00617ECD" w:rsidP="00DD147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E85E91" w14:textId="77777777" w:rsidR="00617ECD" w:rsidRPr="00BC78E8" w:rsidRDefault="00617ECD">
    <w:pPr>
      <w:spacing w:after="14" w:line="216" w:lineRule="auto"/>
      <w:ind w:left="2602" w:right="322" w:hanging="53"/>
    </w:pPr>
    <w:r w:rsidRPr="00BC78E8">
      <w:rPr>
        <w:sz w:val="24"/>
      </w:rPr>
      <w:t xml:space="preserve">CORTE </w:t>
    </w:r>
    <w:r w:rsidRPr="00BC78E8">
      <w:t xml:space="preserve">SUPREMA </w:t>
    </w:r>
    <w:r w:rsidRPr="00BC78E8">
      <w:rPr>
        <w:sz w:val="24"/>
      </w:rPr>
      <w:t xml:space="preserve">DE JUSTICIA SALA PENAL </w:t>
    </w:r>
    <w:r w:rsidRPr="00BC78E8">
      <w:t xml:space="preserve">PERMANENTE </w:t>
    </w:r>
    <w:r w:rsidRPr="00BC78E8">
      <w:rPr>
        <w:sz w:val="24"/>
      </w:rPr>
      <w:t xml:space="preserve">DE LA REPÚBLICA </w:t>
    </w:r>
    <w:r w:rsidRPr="00BC78E8">
      <w:rPr>
        <w:sz w:val="26"/>
      </w:rPr>
      <w:t xml:space="preserve">CASACIÓN </w:t>
    </w:r>
    <w:r w:rsidRPr="00BC78E8">
      <w:t>N</w:t>
    </w:r>
    <w:r w:rsidRPr="00BC78E8">
      <w:rPr>
        <w:vertAlign w:val="superscript"/>
      </w:rPr>
      <w:t>0</w:t>
    </w:r>
    <w:r w:rsidRPr="00BC78E8">
      <w:t>736-2016</w:t>
    </w:r>
  </w:p>
  <w:p w14:paraId="1B8098BA" w14:textId="77777777" w:rsidR="00617ECD" w:rsidRDefault="00617ECD">
    <w:pPr>
      <w:spacing w:after="0" w:line="259" w:lineRule="auto"/>
      <w:ind w:left="3538"/>
      <w:jc w:val="center"/>
    </w:pPr>
    <w:r>
      <w:rPr>
        <w:sz w:val="20"/>
      </w:rPr>
      <w:t>ANCASH</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B2342A"/>
    <w:multiLevelType w:val="hybridMultilevel"/>
    <w:tmpl w:val="EAA42A50"/>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099D7431"/>
    <w:multiLevelType w:val="hybridMultilevel"/>
    <w:tmpl w:val="B0CAAAC0"/>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0C8878DF"/>
    <w:multiLevelType w:val="hybridMultilevel"/>
    <w:tmpl w:val="9E022A2C"/>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131240B4"/>
    <w:multiLevelType w:val="hybridMultilevel"/>
    <w:tmpl w:val="E0BC2CA6"/>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13820E13"/>
    <w:multiLevelType w:val="hybridMultilevel"/>
    <w:tmpl w:val="83FE4B96"/>
    <w:lvl w:ilvl="0" w:tplc="280A000F">
      <w:start w:val="1"/>
      <w:numFmt w:val="decimal"/>
      <w:lvlText w:val="%1."/>
      <w:lvlJc w:val="left"/>
      <w:pPr>
        <w:ind w:left="720" w:hanging="360"/>
      </w:pPr>
      <w:rPr>
        <w:rFonts w:hint="default"/>
      </w:rPr>
    </w:lvl>
    <w:lvl w:ilvl="1" w:tplc="280A0011">
      <w:start w:val="1"/>
      <w:numFmt w:val="decimal"/>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149B3DB4"/>
    <w:multiLevelType w:val="hybridMultilevel"/>
    <w:tmpl w:val="3D902150"/>
    <w:lvl w:ilvl="0" w:tplc="86A6333E">
      <w:start w:val="3"/>
      <w:numFmt w:val="upperRoman"/>
      <w:lvlText w:val="%1."/>
      <w:lvlJc w:val="left"/>
      <w:pPr>
        <w:ind w:left="288"/>
      </w:pPr>
      <w:rPr>
        <w:rFonts w:ascii="Century Gothic" w:eastAsia="Times New Roman" w:hAnsi="Century Gothic" w:cs="Times New Roman" w:hint="default"/>
        <w:b/>
        <w:i w:val="0"/>
        <w:strike w:val="0"/>
        <w:dstrike w:val="0"/>
        <w:color w:val="000000"/>
        <w:sz w:val="25"/>
        <w:szCs w:val="25"/>
        <w:u w:val="none" w:color="000000"/>
        <w:bdr w:val="none" w:sz="0" w:space="0" w:color="auto"/>
        <w:shd w:val="clear" w:color="auto" w:fill="auto"/>
        <w:vertAlign w:val="baseline"/>
      </w:rPr>
    </w:lvl>
    <w:lvl w:ilvl="1" w:tplc="2916A05E">
      <w:start w:val="1"/>
      <w:numFmt w:val="lowerLetter"/>
      <w:lvlText w:val="%2"/>
      <w:lvlJc w:val="left"/>
      <w:pPr>
        <w:ind w:left="1147"/>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2" w:tplc="AF4A1FE4">
      <w:start w:val="1"/>
      <w:numFmt w:val="lowerRoman"/>
      <w:lvlText w:val="%3"/>
      <w:lvlJc w:val="left"/>
      <w:pPr>
        <w:ind w:left="1867"/>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3" w:tplc="F3468F10">
      <w:start w:val="1"/>
      <w:numFmt w:val="decimal"/>
      <w:lvlText w:val="%4"/>
      <w:lvlJc w:val="left"/>
      <w:pPr>
        <w:ind w:left="2587"/>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4" w:tplc="FD3C6A42">
      <w:start w:val="1"/>
      <w:numFmt w:val="lowerLetter"/>
      <w:lvlText w:val="%5"/>
      <w:lvlJc w:val="left"/>
      <w:pPr>
        <w:ind w:left="3307"/>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5" w:tplc="EFE6F758">
      <w:start w:val="1"/>
      <w:numFmt w:val="lowerRoman"/>
      <w:lvlText w:val="%6"/>
      <w:lvlJc w:val="left"/>
      <w:pPr>
        <w:ind w:left="4027"/>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6" w:tplc="8020E3DC">
      <w:start w:val="1"/>
      <w:numFmt w:val="decimal"/>
      <w:lvlText w:val="%7"/>
      <w:lvlJc w:val="left"/>
      <w:pPr>
        <w:ind w:left="4747"/>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7" w:tplc="02A858EA">
      <w:start w:val="1"/>
      <w:numFmt w:val="lowerLetter"/>
      <w:lvlText w:val="%8"/>
      <w:lvlJc w:val="left"/>
      <w:pPr>
        <w:ind w:left="5467"/>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8" w:tplc="A5E250BE">
      <w:start w:val="1"/>
      <w:numFmt w:val="lowerRoman"/>
      <w:lvlText w:val="%9"/>
      <w:lvlJc w:val="left"/>
      <w:pPr>
        <w:ind w:left="6187"/>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abstractNum>
  <w:abstractNum w:abstractNumId="6" w15:restartNumberingAfterBreak="0">
    <w:nsid w:val="16C47FA9"/>
    <w:multiLevelType w:val="hybridMultilevel"/>
    <w:tmpl w:val="8F16E3B2"/>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1A160652"/>
    <w:multiLevelType w:val="hybridMultilevel"/>
    <w:tmpl w:val="39D60E9E"/>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1E6B1903"/>
    <w:multiLevelType w:val="hybridMultilevel"/>
    <w:tmpl w:val="9618B9F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 w15:restartNumberingAfterBreak="0">
    <w:nsid w:val="36C905AC"/>
    <w:multiLevelType w:val="hybridMultilevel"/>
    <w:tmpl w:val="9C3E8AC8"/>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37200DA4"/>
    <w:multiLevelType w:val="hybridMultilevel"/>
    <w:tmpl w:val="E0BC2CA6"/>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38723BAE"/>
    <w:multiLevelType w:val="hybridMultilevel"/>
    <w:tmpl w:val="5FE09A74"/>
    <w:lvl w:ilvl="0" w:tplc="280A000F">
      <w:start w:val="1"/>
      <w:numFmt w:val="decimal"/>
      <w:lvlText w:val="%1."/>
      <w:lvlJc w:val="left"/>
      <w:pPr>
        <w:ind w:left="720" w:hanging="360"/>
      </w:pPr>
      <w:rPr>
        <w:rFonts w:hint="default"/>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3F1E3032"/>
    <w:multiLevelType w:val="hybridMultilevel"/>
    <w:tmpl w:val="6FE8815A"/>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 w15:restartNumberingAfterBreak="0">
    <w:nsid w:val="3F491888"/>
    <w:multiLevelType w:val="hybridMultilevel"/>
    <w:tmpl w:val="B74A4440"/>
    <w:lvl w:ilvl="0" w:tplc="280A000F">
      <w:start w:val="1"/>
      <w:numFmt w:val="decimal"/>
      <w:lvlText w:val="%1."/>
      <w:lvlJc w:val="left"/>
      <w:pPr>
        <w:ind w:left="720" w:hanging="360"/>
      </w:pPr>
      <w:rPr>
        <w:rFonts w:hint="default"/>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40B2311D"/>
    <w:multiLevelType w:val="hybridMultilevel"/>
    <w:tmpl w:val="DC52BF6E"/>
    <w:lvl w:ilvl="0" w:tplc="280A0011">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470C6963"/>
    <w:multiLevelType w:val="hybridMultilevel"/>
    <w:tmpl w:val="FB0A3D1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47595A91"/>
    <w:multiLevelType w:val="hybridMultilevel"/>
    <w:tmpl w:val="566CDBAA"/>
    <w:lvl w:ilvl="0" w:tplc="280A000F">
      <w:start w:val="1"/>
      <w:numFmt w:val="decimal"/>
      <w:lvlText w:val="%1."/>
      <w:lvlJc w:val="left"/>
      <w:pPr>
        <w:ind w:left="720" w:hanging="360"/>
      </w:pPr>
      <w:rPr>
        <w:rFonts w:hint="default"/>
      </w:rPr>
    </w:lvl>
    <w:lvl w:ilvl="1" w:tplc="280A0019">
      <w:start w:val="1"/>
      <w:numFmt w:val="lowerLetter"/>
      <w:lvlText w:val="%2."/>
      <w:lvlJc w:val="left"/>
      <w:pPr>
        <w:ind w:left="1440" w:hanging="360"/>
      </w:pPr>
    </w:lvl>
    <w:lvl w:ilvl="2" w:tplc="A82E6184">
      <w:start w:val="1"/>
      <w:numFmt w:val="upperRoman"/>
      <w:lvlText w:val="%3."/>
      <w:lvlJc w:val="left"/>
      <w:pPr>
        <w:ind w:left="2700" w:hanging="720"/>
      </w:pPr>
      <w:rPr>
        <w:rFonts w:hint="default"/>
        <w:b/>
      </w:r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 w15:restartNumberingAfterBreak="0">
    <w:nsid w:val="4B30387E"/>
    <w:multiLevelType w:val="hybridMultilevel"/>
    <w:tmpl w:val="0D5AB2FA"/>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4CF75566"/>
    <w:multiLevelType w:val="hybridMultilevel"/>
    <w:tmpl w:val="DB669C6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9" w15:restartNumberingAfterBreak="0">
    <w:nsid w:val="4D102975"/>
    <w:multiLevelType w:val="hybridMultilevel"/>
    <w:tmpl w:val="5BDC9F2A"/>
    <w:lvl w:ilvl="0" w:tplc="280A000F">
      <w:start w:val="1"/>
      <w:numFmt w:val="decimal"/>
      <w:lvlText w:val="%1."/>
      <w:lvlJc w:val="left"/>
      <w:pPr>
        <w:ind w:left="773" w:hanging="360"/>
      </w:pPr>
    </w:lvl>
    <w:lvl w:ilvl="1" w:tplc="280A0019">
      <w:start w:val="1"/>
      <w:numFmt w:val="lowerLetter"/>
      <w:lvlText w:val="%2."/>
      <w:lvlJc w:val="left"/>
      <w:pPr>
        <w:ind w:left="1493" w:hanging="360"/>
      </w:pPr>
    </w:lvl>
    <w:lvl w:ilvl="2" w:tplc="280A001B" w:tentative="1">
      <w:start w:val="1"/>
      <w:numFmt w:val="lowerRoman"/>
      <w:lvlText w:val="%3."/>
      <w:lvlJc w:val="right"/>
      <w:pPr>
        <w:ind w:left="2213" w:hanging="180"/>
      </w:pPr>
    </w:lvl>
    <w:lvl w:ilvl="3" w:tplc="280A000F" w:tentative="1">
      <w:start w:val="1"/>
      <w:numFmt w:val="decimal"/>
      <w:lvlText w:val="%4."/>
      <w:lvlJc w:val="left"/>
      <w:pPr>
        <w:ind w:left="2933" w:hanging="360"/>
      </w:pPr>
    </w:lvl>
    <w:lvl w:ilvl="4" w:tplc="280A0019" w:tentative="1">
      <w:start w:val="1"/>
      <w:numFmt w:val="lowerLetter"/>
      <w:lvlText w:val="%5."/>
      <w:lvlJc w:val="left"/>
      <w:pPr>
        <w:ind w:left="3653" w:hanging="360"/>
      </w:pPr>
    </w:lvl>
    <w:lvl w:ilvl="5" w:tplc="280A001B" w:tentative="1">
      <w:start w:val="1"/>
      <w:numFmt w:val="lowerRoman"/>
      <w:lvlText w:val="%6."/>
      <w:lvlJc w:val="right"/>
      <w:pPr>
        <w:ind w:left="4373" w:hanging="180"/>
      </w:pPr>
    </w:lvl>
    <w:lvl w:ilvl="6" w:tplc="280A000F" w:tentative="1">
      <w:start w:val="1"/>
      <w:numFmt w:val="decimal"/>
      <w:lvlText w:val="%7."/>
      <w:lvlJc w:val="left"/>
      <w:pPr>
        <w:ind w:left="5093" w:hanging="360"/>
      </w:pPr>
    </w:lvl>
    <w:lvl w:ilvl="7" w:tplc="280A0019" w:tentative="1">
      <w:start w:val="1"/>
      <w:numFmt w:val="lowerLetter"/>
      <w:lvlText w:val="%8."/>
      <w:lvlJc w:val="left"/>
      <w:pPr>
        <w:ind w:left="5813" w:hanging="360"/>
      </w:pPr>
    </w:lvl>
    <w:lvl w:ilvl="8" w:tplc="280A001B" w:tentative="1">
      <w:start w:val="1"/>
      <w:numFmt w:val="lowerRoman"/>
      <w:lvlText w:val="%9."/>
      <w:lvlJc w:val="right"/>
      <w:pPr>
        <w:ind w:left="6533" w:hanging="180"/>
      </w:pPr>
    </w:lvl>
  </w:abstractNum>
  <w:abstractNum w:abstractNumId="20" w15:restartNumberingAfterBreak="0">
    <w:nsid w:val="54242C1C"/>
    <w:multiLevelType w:val="hybridMultilevel"/>
    <w:tmpl w:val="BD38A08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1" w15:restartNumberingAfterBreak="0">
    <w:nsid w:val="56D20539"/>
    <w:multiLevelType w:val="hybridMultilevel"/>
    <w:tmpl w:val="12F21EF2"/>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578972BD"/>
    <w:multiLevelType w:val="hybridMultilevel"/>
    <w:tmpl w:val="AC4EC6E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3" w15:restartNumberingAfterBreak="0">
    <w:nsid w:val="5A414996"/>
    <w:multiLevelType w:val="hybridMultilevel"/>
    <w:tmpl w:val="758A91C0"/>
    <w:lvl w:ilvl="0" w:tplc="280A0001">
      <w:start w:val="1"/>
      <w:numFmt w:val="bullet"/>
      <w:lvlText w:val=""/>
      <w:lvlJc w:val="left"/>
      <w:pPr>
        <w:ind w:left="2160" w:hanging="360"/>
      </w:pPr>
      <w:rPr>
        <w:rFonts w:ascii="Symbol" w:hAnsi="Symbol" w:hint="default"/>
      </w:rPr>
    </w:lvl>
    <w:lvl w:ilvl="1" w:tplc="280A0003" w:tentative="1">
      <w:start w:val="1"/>
      <w:numFmt w:val="bullet"/>
      <w:lvlText w:val="o"/>
      <w:lvlJc w:val="left"/>
      <w:pPr>
        <w:ind w:left="2880" w:hanging="360"/>
      </w:pPr>
      <w:rPr>
        <w:rFonts w:ascii="Courier New" w:hAnsi="Courier New" w:cs="Courier New" w:hint="default"/>
      </w:rPr>
    </w:lvl>
    <w:lvl w:ilvl="2" w:tplc="280A0005" w:tentative="1">
      <w:start w:val="1"/>
      <w:numFmt w:val="bullet"/>
      <w:lvlText w:val=""/>
      <w:lvlJc w:val="left"/>
      <w:pPr>
        <w:ind w:left="3600" w:hanging="360"/>
      </w:pPr>
      <w:rPr>
        <w:rFonts w:ascii="Wingdings" w:hAnsi="Wingdings" w:hint="default"/>
      </w:rPr>
    </w:lvl>
    <w:lvl w:ilvl="3" w:tplc="280A0001" w:tentative="1">
      <w:start w:val="1"/>
      <w:numFmt w:val="bullet"/>
      <w:lvlText w:val=""/>
      <w:lvlJc w:val="left"/>
      <w:pPr>
        <w:ind w:left="4320" w:hanging="360"/>
      </w:pPr>
      <w:rPr>
        <w:rFonts w:ascii="Symbol" w:hAnsi="Symbol" w:hint="default"/>
      </w:rPr>
    </w:lvl>
    <w:lvl w:ilvl="4" w:tplc="280A0003" w:tentative="1">
      <w:start w:val="1"/>
      <w:numFmt w:val="bullet"/>
      <w:lvlText w:val="o"/>
      <w:lvlJc w:val="left"/>
      <w:pPr>
        <w:ind w:left="5040" w:hanging="360"/>
      </w:pPr>
      <w:rPr>
        <w:rFonts w:ascii="Courier New" w:hAnsi="Courier New" w:cs="Courier New" w:hint="default"/>
      </w:rPr>
    </w:lvl>
    <w:lvl w:ilvl="5" w:tplc="280A0005" w:tentative="1">
      <w:start w:val="1"/>
      <w:numFmt w:val="bullet"/>
      <w:lvlText w:val=""/>
      <w:lvlJc w:val="left"/>
      <w:pPr>
        <w:ind w:left="5760" w:hanging="360"/>
      </w:pPr>
      <w:rPr>
        <w:rFonts w:ascii="Wingdings" w:hAnsi="Wingdings" w:hint="default"/>
      </w:rPr>
    </w:lvl>
    <w:lvl w:ilvl="6" w:tplc="280A0001" w:tentative="1">
      <w:start w:val="1"/>
      <w:numFmt w:val="bullet"/>
      <w:lvlText w:val=""/>
      <w:lvlJc w:val="left"/>
      <w:pPr>
        <w:ind w:left="6480" w:hanging="360"/>
      </w:pPr>
      <w:rPr>
        <w:rFonts w:ascii="Symbol" w:hAnsi="Symbol" w:hint="default"/>
      </w:rPr>
    </w:lvl>
    <w:lvl w:ilvl="7" w:tplc="280A0003" w:tentative="1">
      <w:start w:val="1"/>
      <w:numFmt w:val="bullet"/>
      <w:lvlText w:val="o"/>
      <w:lvlJc w:val="left"/>
      <w:pPr>
        <w:ind w:left="7200" w:hanging="360"/>
      </w:pPr>
      <w:rPr>
        <w:rFonts w:ascii="Courier New" w:hAnsi="Courier New" w:cs="Courier New" w:hint="default"/>
      </w:rPr>
    </w:lvl>
    <w:lvl w:ilvl="8" w:tplc="280A0005" w:tentative="1">
      <w:start w:val="1"/>
      <w:numFmt w:val="bullet"/>
      <w:lvlText w:val=""/>
      <w:lvlJc w:val="left"/>
      <w:pPr>
        <w:ind w:left="7920" w:hanging="360"/>
      </w:pPr>
      <w:rPr>
        <w:rFonts w:ascii="Wingdings" w:hAnsi="Wingdings" w:hint="default"/>
      </w:rPr>
    </w:lvl>
  </w:abstractNum>
  <w:abstractNum w:abstractNumId="24" w15:restartNumberingAfterBreak="0">
    <w:nsid w:val="5A564BA9"/>
    <w:multiLevelType w:val="hybridMultilevel"/>
    <w:tmpl w:val="CBF28574"/>
    <w:lvl w:ilvl="0" w:tplc="280A0001">
      <w:start w:val="1"/>
      <w:numFmt w:val="bullet"/>
      <w:lvlText w:val=""/>
      <w:lvlJc w:val="left"/>
      <w:pPr>
        <w:ind w:left="774" w:hanging="360"/>
      </w:pPr>
      <w:rPr>
        <w:rFonts w:ascii="Symbol" w:hAnsi="Symbol" w:hint="default"/>
      </w:rPr>
    </w:lvl>
    <w:lvl w:ilvl="1" w:tplc="280A0003" w:tentative="1">
      <w:start w:val="1"/>
      <w:numFmt w:val="bullet"/>
      <w:lvlText w:val="o"/>
      <w:lvlJc w:val="left"/>
      <w:pPr>
        <w:ind w:left="1494" w:hanging="360"/>
      </w:pPr>
      <w:rPr>
        <w:rFonts w:ascii="Courier New" w:hAnsi="Courier New" w:cs="Courier New" w:hint="default"/>
      </w:rPr>
    </w:lvl>
    <w:lvl w:ilvl="2" w:tplc="280A0005" w:tentative="1">
      <w:start w:val="1"/>
      <w:numFmt w:val="bullet"/>
      <w:lvlText w:val=""/>
      <w:lvlJc w:val="left"/>
      <w:pPr>
        <w:ind w:left="2214" w:hanging="360"/>
      </w:pPr>
      <w:rPr>
        <w:rFonts w:ascii="Wingdings" w:hAnsi="Wingdings" w:hint="default"/>
      </w:rPr>
    </w:lvl>
    <w:lvl w:ilvl="3" w:tplc="280A0001" w:tentative="1">
      <w:start w:val="1"/>
      <w:numFmt w:val="bullet"/>
      <w:lvlText w:val=""/>
      <w:lvlJc w:val="left"/>
      <w:pPr>
        <w:ind w:left="2934" w:hanging="360"/>
      </w:pPr>
      <w:rPr>
        <w:rFonts w:ascii="Symbol" w:hAnsi="Symbol" w:hint="default"/>
      </w:rPr>
    </w:lvl>
    <w:lvl w:ilvl="4" w:tplc="280A0003" w:tentative="1">
      <w:start w:val="1"/>
      <w:numFmt w:val="bullet"/>
      <w:lvlText w:val="o"/>
      <w:lvlJc w:val="left"/>
      <w:pPr>
        <w:ind w:left="3654" w:hanging="360"/>
      </w:pPr>
      <w:rPr>
        <w:rFonts w:ascii="Courier New" w:hAnsi="Courier New" w:cs="Courier New" w:hint="default"/>
      </w:rPr>
    </w:lvl>
    <w:lvl w:ilvl="5" w:tplc="280A0005" w:tentative="1">
      <w:start w:val="1"/>
      <w:numFmt w:val="bullet"/>
      <w:lvlText w:val=""/>
      <w:lvlJc w:val="left"/>
      <w:pPr>
        <w:ind w:left="4374" w:hanging="360"/>
      </w:pPr>
      <w:rPr>
        <w:rFonts w:ascii="Wingdings" w:hAnsi="Wingdings" w:hint="default"/>
      </w:rPr>
    </w:lvl>
    <w:lvl w:ilvl="6" w:tplc="280A0001" w:tentative="1">
      <w:start w:val="1"/>
      <w:numFmt w:val="bullet"/>
      <w:lvlText w:val=""/>
      <w:lvlJc w:val="left"/>
      <w:pPr>
        <w:ind w:left="5094" w:hanging="360"/>
      </w:pPr>
      <w:rPr>
        <w:rFonts w:ascii="Symbol" w:hAnsi="Symbol" w:hint="default"/>
      </w:rPr>
    </w:lvl>
    <w:lvl w:ilvl="7" w:tplc="280A0003" w:tentative="1">
      <w:start w:val="1"/>
      <w:numFmt w:val="bullet"/>
      <w:lvlText w:val="o"/>
      <w:lvlJc w:val="left"/>
      <w:pPr>
        <w:ind w:left="5814" w:hanging="360"/>
      </w:pPr>
      <w:rPr>
        <w:rFonts w:ascii="Courier New" w:hAnsi="Courier New" w:cs="Courier New" w:hint="default"/>
      </w:rPr>
    </w:lvl>
    <w:lvl w:ilvl="8" w:tplc="280A0005" w:tentative="1">
      <w:start w:val="1"/>
      <w:numFmt w:val="bullet"/>
      <w:lvlText w:val=""/>
      <w:lvlJc w:val="left"/>
      <w:pPr>
        <w:ind w:left="6534" w:hanging="360"/>
      </w:pPr>
      <w:rPr>
        <w:rFonts w:ascii="Wingdings" w:hAnsi="Wingdings" w:hint="default"/>
      </w:rPr>
    </w:lvl>
  </w:abstractNum>
  <w:abstractNum w:abstractNumId="25" w15:restartNumberingAfterBreak="0">
    <w:nsid w:val="5D8347AF"/>
    <w:multiLevelType w:val="hybridMultilevel"/>
    <w:tmpl w:val="8E327528"/>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6" w15:restartNumberingAfterBreak="0">
    <w:nsid w:val="5EBA59B0"/>
    <w:multiLevelType w:val="hybridMultilevel"/>
    <w:tmpl w:val="25580F26"/>
    <w:lvl w:ilvl="0" w:tplc="6C9ADDE8">
      <w:start w:val="1"/>
      <w:numFmt w:val="bullet"/>
      <w:lvlText w:val=""/>
      <w:lvlJc w:val="left"/>
      <w:pPr>
        <w:ind w:left="720" w:hanging="360"/>
      </w:pPr>
      <w:rPr>
        <w:rFonts w:ascii="Symbol" w:hAnsi="Symbol" w:hint="default"/>
        <w:b w:val="0"/>
        <w:bCs w:val="0"/>
        <w:color w:val="auto"/>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7" w15:restartNumberingAfterBreak="0">
    <w:nsid w:val="6088029B"/>
    <w:multiLevelType w:val="hybridMultilevel"/>
    <w:tmpl w:val="B210BED0"/>
    <w:lvl w:ilvl="0" w:tplc="280A000F">
      <w:start w:val="1"/>
      <w:numFmt w:val="decimal"/>
      <w:lvlText w:val="%1."/>
      <w:lvlJc w:val="left"/>
      <w:pPr>
        <w:ind w:left="720" w:hanging="360"/>
      </w:pPr>
    </w:lvl>
    <w:lvl w:ilvl="1" w:tplc="280A0011">
      <w:start w:val="1"/>
      <w:numFmt w:val="decimal"/>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8" w15:restartNumberingAfterBreak="0">
    <w:nsid w:val="63382433"/>
    <w:multiLevelType w:val="hybridMultilevel"/>
    <w:tmpl w:val="2FBE1320"/>
    <w:lvl w:ilvl="0" w:tplc="C6FEA7B0">
      <w:start w:val="1"/>
      <w:numFmt w:val="decimal"/>
      <w:lvlText w:val="%1."/>
      <w:lvlJc w:val="left"/>
      <w:pPr>
        <w:ind w:left="720" w:hanging="360"/>
      </w:pPr>
      <w:rPr>
        <w:rFonts w:hint="default"/>
      </w:rPr>
    </w:lvl>
    <w:lvl w:ilvl="1" w:tplc="280A0011">
      <w:start w:val="1"/>
      <w:numFmt w:val="decimal"/>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9" w15:restartNumberingAfterBreak="0">
    <w:nsid w:val="6BBC5A6E"/>
    <w:multiLevelType w:val="hybridMultilevel"/>
    <w:tmpl w:val="EE40A0C2"/>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0" w15:restartNumberingAfterBreak="0">
    <w:nsid w:val="6ECB3C2B"/>
    <w:multiLevelType w:val="hybridMultilevel"/>
    <w:tmpl w:val="5DC84CB8"/>
    <w:lvl w:ilvl="0" w:tplc="280A000F">
      <w:start w:val="1"/>
      <w:numFmt w:val="decimal"/>
      <w:lvlText w:val="%1."/>
      <w:lvlJc w:val="left"/>
      <w:pPr>
        <w:ind w:left="720" w:hanging="360"/>
      </w:pPr>
      <w:rPr>
        <w:rFonts w:hint="default"/>
      </w:rPr>
    </w:lvl>
    <w:lvl w:ilvl="1" w:tplc="280A0011">
      <w:start w:val="1"/>
      <w:numFmt w:val="decimal"/>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1" w15:restartNumberingAfterBreak="0">
    <w:nsid w:val="721E3BF6"/>
    <w:multiLevelType w:val="hybridMultilevel"/>
    <w:tmpl w:val="5D224132"/>
    <w:lvl w:ilvl="0" w:tplc="280A000F">
      <w:start w:val="1"/>
      <w:numFmt w:val="decimal"/>
      <w:lvlText w:val="%1."/>
      <w:lvlJc w:val="left"/>
      <w:pPr>
        <w:ind w:left="720" w:hanging="360"/>
      </w:pPr>
    </w:lvl>
    <w:lvl w:ilvl="1" w:tplc="280A0011">
      <w:start w:val="1"/>
      <w:numFmt w:val="decimal"/>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2" w15:restartNumberingAfterBreak="0">
    <w:nsid w:val="74970B6D"/>
    <w:multiLevelType w:val="hybridMultilevel"/>
    <w:tmpl w:val="266C484A"/>
    <w:lvl w:ilvl="0" w:tplc="386E45DA">
      <w:start w:val="1"/>
      <w:numFmt w:val="lowerLetter"/>
      <w:lvlText w:val="%1)"/>
      <w:lvlJc w:val="left"/>
      <w:pPr>
        <w:ind w:left="379" w:hanging="360"/>
      </w:pPr>
      <w:rPr>
        <w:rFonts w:hint="default"/>
        <w:b/>
      </w:rPr>
    </w:lvl>
    <w:lvl w:ilvl="1" w:tplc="280A0019" w:tentative="1">
      <w:start w:val="1"/>
      <w:numFmt w:val="lowerLetter"/>
      <w:lvlText w:val="%2."/>
      <w:lvlJc w:val="left"/>
      <w:pPr>
        <w:ind w:left="1099" w:hanging="360"/>
      </w:pPr>
    </w:lvl>
    <w:lvl w:ilvl="2" w:tplc="280A001B" w:tentative="1">
      <w:start w:val="1"/>
      <w:numFmt w:val="lowerRoman"/>
      <w:lvlText w:val="%3."/>
      <w:lvlJc w:val="right"/>
      <w:pPr>
        <w:ind w:left="1819" w:hanging="180"/>
      </w:pPr>
    </w:lvl>
    <w:lvl w:ilvl="3" w:tplc="280A000F" w:tentative="1">
      <w:start w:val="1"/>
      <w:numFmt w:val="decimal"/>
      <w:lvlText w:val="%4."/>
      <w:lvlJc w:val="left"/>
      <w:pPr>
        <w:ind w:left="2539" w:hanging="360"/>
      </w:pPr>
    </w:lvl>
    <w:lvl w:ilvl="4" w:tplc="280A0019" w:tentative="1">
      <w:start w:val="1"/>
      <w:numFmt w:val="lowerLetter"/>
      <w:lvlText w:val="%5."/>
      <w:lvlJc w:val="left"/>
      <w:pPr>
        <w:ind w:left="3259" w:hanging="360"/>
      </w:pPr>
    </w:lvl>
    <w:lvl w:ilvl="5" w:tplc="280A001B" w:tentative="1">
      <w:start w:val="1"/>
      <w:numFmt w:val="lowerRoman"/>
      <w:lvlText w:val="%6."/>
      <w:lvlJc w:val="right"/>
      <w:pPr>
        <w:ind w:left="3979" w:hanging="180"/>
      </w:pPr>
    </w:lvl>
    <w:lvl w:ilvl="6" w:tplc="280A000F" w:tentative="1">
      <w:start w:val="1"/>
      <w:numFmt w:val="decimal"/>
      <w:lvlText w:val="%7."/>
      <w:lvlJc w:val="left"/>
      <w:pPr>
        <w:ind w:left="4699" w:hanging="360"/>
      </w:pPr>
    </w:lvl>
    <w:lvl w:ilvl="7" w:tplc="280A0019" w:tentative="1">
      <w:start w:val="1"/>
      <w:numFmt w:val="lowerLetter"/>
      <w:lvlText w:val="%8."/>
      <w:lvlJc w:val="left"/>
      <w:pPr>
        <w:ind w:left="5419" w:hanging="360"/>
      </w:pPr>
    </w:lvl>
    <w:lvl w:ilvl="8" w:tplc="280A001B" w:tentative="1">
      <w:start w:val="1"/>
      <w:numFmt w:val="lowerRoman"/>
      <w:lvlText w:val="%9."/>
      <w:lvlJc w:val="right"/>
      <w:pPr>
        <w:ind w:left="6139" w:hanging="180"/>
      </w:pPr>
    </w:lvl>
  </w:abstractNum>
  <w:abstractNum w:abstractNumId="33" w15:restartNumberingAfterBreak="0">
    <w:nsid w:val="75796C9A"/>
    <w:multiLevelType w:val="hybridMultilevel"/>
    <w:tmpl w:val="4AFCF35C"/>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4" w15:restartNumberingAfterBreak="0">
    <w:nsid w:val="7B024C59"/>
    <w:multiLevelType w:val="hybridMultilevel"/>
    <w:tmpl w:val="756E6E6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5" w15:restartNumberingAfterBreak="0">
    <w:nsid w:val="7B2B037A"/>
    <w:multiLevelType w:val="hybridMultilevel"/>
    <w:tmpl w:val="0E24C7E0"/>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6" w15:restartNumberingAfterBreak="0">
    <w:nsid w:val="7B2D39F4"/>
    <w:multiLevelType w:val="hybridMultilevel"/>
    <w:tmpl w:val="EA929C52"/>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7" w15:restartNumberingAfterBreak="0">
    <w:nsid w:val="7C786147"/>
    <w:multiLevelType w:val="hybridMultilevel"/>
    <w:tmpl w:val="743EEDAC"/>
    <w:lvl w:ilvl="0" w:tplc="280A0001">
      <w:start w:val="1"/>
      <w:numFmt w:val="bullet"/>
      <w:lvlText w:val=""/>
      <w:lvlJc w:val="left"/>
      <w:pPr>
        <w:ind w:left="773" w:hanging="360"/>
      </w:pPr>
      <w:rPr>
        <w:rFonts w:ascii="Symbol" w:hAnsi="Symbol" w:hint="default"/>
      </w:rPr>
    </w:lvl>
    <w:lvl w:ilvl="1" w:tplc="280A0003" w:tentative="1">
      <w:start w:val="1"/>
      <w:numFmt w:val="bullet"/>
      <w:lvlText w:val="o"/>
      <w:lvlJc w:val="left"/>
      <w:pPr>
        <w:ind w:left="1493" w:hanging="360"/>
      </w:pPr>
      <w:rPr>
        <w:rFonts w:ascii="Courier New" w:hAnsi="Courier New" w:cs="Courier New" w:hint="default"/>
      </w:rPr>
    </w:lvl>
    <w:lvl w:ilvl="2" w:tplc="280A0005" w:tentative="1">
      <w:start w:val="1"/>
      <w:numFmt w:val="bullet"/>
      <w:lvlText w:val=""/>
      <w:lvlJc w:val="left"/>
      <w:pPr>
        <w:ind w:left="2213" w:hanging="360"/>
      </w:pPr>
      <w:rPr>
        <w:rFonts w:ascii="Wingdings" w:hAnsi="Wingdings" w:hint="default"/>
      </w:rPr>
    </w:lvl>
    <w:lvl w:ilvl="3" w:tplc="280A0001" w:tentative="1">
      <w:start w:val="1"/>
      <w:numFmt w:val="bullet"/>
      <w:lvlText w:val=""/>
      <w:lvlJc w:val="left"/>
      <w:pPr>
        <w:ind w:left="2933" w:hanging="360"/>
      </w:pPr>
      <w:rPr>
        <w:rFonts w:ascii="Symbol" w:hAnsi="Symbol" w:hint="default"/>
      </w:rPr>
    </w:lvl>
    <w:lvl w:ilvl="4" w:tplc="280A0003" w:tentative="1">
      <w:start w:val="1"/>
      <w:numFmt w:val="bullet"/>
      <w:lvlText w:val="o"/>
      <w:lvlJc w:val="left"/>
      <w:pPr>
        <w:ind w:left="3653" w:hanging="360"/>
      </w:pPr>
      <w:rPr>
        <w:rFonts w:ascii="Courier New" w:hAnsi="Courier New" w:cs="Courier New" w:hint="default"/>
      </w:rPr>
    </w:lvl>
    <w:lvl w:ilvl="5" w:tplc="280A0005" w:tentative="1">
      <w:start w:val="1"/>
      <w:numFmt w:val="bullet"/>
      <w:lvlText w:val=""/>
      <w:lvlJc w:val="left"/>
      <w:pPr>
        <w:ind w:left="4373" w:hanging="360"/>
      </w:pPr>
      <w:rPr>
        <w:rFonts w:ascii="Wingdings" w:hAnsi="Wingdings" w:hint="default"/>
      </w:rPr>
    </w:lvl>
    <w:lvl w:ilvl="6" w:tplc="280A0001" w:tentative="1">
      <w:start w:val="1"/>
      <w:numFmt w:val="bullet"/>
      <w:lvlText w:val=""/>
      <w:lvlJc w:val="left"/>
      <w:pPr>
        <w:ind w:left="5093" w:hanging="360"/>
      </w:pPr>
      <w:rPr>
        <w:rFonts w:ascii="Symbol" w:hAnsi="Symbol" w:hint="default"/>
      </w:rPr>
    </w:lvl>
    <w:lvl w:ilvl="7" w:tplc="280A0003" w:tentative="1">
      <w:start w:val="1"/>
      <w:numFmt w:val="bullet"/>
      <w:lvlText w:val="o"/>
      <w:lvlJc w:val="left"/>
      <w:pPr>
        <w:ind w:left="5813" w:hanging="360"/>
      </w:pPr>
      <w:rPr>
        <w:rFonts w:ascii="Courier New" w:hAnsi="Courier New" w:cs="Courier New" w:hint="default"/>
      </w:rPr>
    </w:lvl>
    <w:lvl w:ilvl="8" w:tplc="280A0005" w:tentative="1">
      <w:start w:val="1"/>
      <w:numFmt w:val="bullet"/>
      <w:lvlText w:val=""/>
      <w:lvlJc w:val="left"/>
      <w:pPr>
        <w:ind w:left="6533" w:hanging="360"/>
      </w:pPr>
      <w:rPr>
        <w:rFonts w:ascii="Wingdings" w:hAnsi="Wingdings" w:hint="default"/>
      </w:rPr>
    </w:lvl>
  </w:abstractNum>
  <w:abstractNum w:abstractNumId="38" w15:restartNumberingAfterBreak="0">
    <w:nsid w:val="7DA86F91"/>
    <w:multiLevelType w:val="hybridMultilevel"/>
    <w:tmpl w:val="AA423DAE"/>
    <w:lvl w:ilvl="0" w:tplc="B8286752">
      <w:start w:val="4"/>
      <w:numFmt w:val="upperRoman"/>
      <w:lvlText w:val="%1."/>
      <w:lvlJc w:val="left"/>
      <w:pPr>
        <w:ind w:left="0"/>
      </w:pPr>
      <w:rPr>
        <w:rFonts w:ascii="Century Gothic" w:eastAsia="Calibri" w:hAnsi="Century Gothic" w:cs="Calibri" w:hint="default"/>
        <w:b/>
        <w:i w:val="0"/>
        <w:strike w:val="0"/>
        <w:dstrike w:val="0"/>
        <w:color w:val="000000"/>
        <w:sz w:val="24"/>
        <w:szCs w:val="24"/>
        <w:u w:val="none" w:color="000000"/>
        <w:bdr w:val="none" w:sz="0" w:space="0" w:color="auto"/>
        <w:shd w:val="clear" w:color="auto" w:fill="auto"/>
        <w:vertAlign w:val="baseline"/>
      </w:rPr>
    </w:lvl>
    <w:lvl w:ilvl="1" w:tplc="A90E1E02">
      <w:start w:val="1"/>
      <w:numFmt w:val="lowerLetter"/>
      <w:lvlText w:val="%2"/>
      <w:lvlJc w:val="left"/>
      <w:pPr>
        <w:ind w:left="1036"/>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2" w:tplc="8FEAA3BE">
      <w:start w:val="1"/>
      <w:numFmt w:val="lowerRoman"/>
      <w:lvlText w:val="%3"/>
      <w:lvlJc w:val="left"/>
      <w:pPr>
        <w:ind w:left="1756"/>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3" w:tplc="2F8A32F8">
      <w:start w:val="1"/>
      <w:numFmt w:val="decimal"/>
      <w:lvlText w:val="%4"/>
      <w:lvlJc w:val="left"/>
      <w:pPr>
        <w:ind w:left="2476"/>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4" w:tplc="C1207840">
      <w:start w:val="1"/>
      <w:numFmt w:val="lowerLetter"/>
      <w:lvlText w:val="%5"/>
      <w:lvlJc w:val="left"/>
      <w:pPr>
        <w:ind w:left="3196"/>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5" w:tplc="8BC6B2F8">
      <w:start w:val="1"/>
      <w:numFmt w:val="lowerRoman"/>
      <w:lvlText w:val="%6"/>
      <w:lvlJc w:val="left"/>
      <w:pPr>
        <w:ind w:left="3916"/>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6" w:tplc="7966CA40">
      <w:start w:val="1"/>
      <w:numFmt w:val="decimal"/>
      <w:lvlText w:val="%7"/>
      <w:lvlJc w:val="left"/>
      <w:pPr>
        <w:ind w:left="4636"/>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7" w:tplc="B45A6F36">
      <w:start w:val="1"/>
      <w:numFmt w:val="lowerLetter"/>
      <w:lvlText w:val="%8"/>
      <w:lvlJc w:val="left"/>
      <w:pPr>
        <w:ind w:left="5356"/>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8" w:tplc="E61C79AC">
      <w:start w:val="1"/>
      <w:numFmt w:val="lowerRoman"/>
      <w:lvlText w:val="%9"/>
      <w:lvlJc w:val="left"/>
      <w:pPr>
        <w:ind w:left="6076"/>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abstractNum>
  <w:abstractNum w:abstractNumId="39" w15:restartNumberingAfterBreak="0">
    <w:nsid w:val="7FC20FDE"/>
    <w:multiLevelType w:val="hybridMultilevel"/>
    <w:tmpl w:val="F5C650DE"/>
    <w:lvl w:ilvl="0" w:tplc="7F86AFEE">
      <w:start w:val="1"/>
      <w:numFmt w:val="decimal"/>
      <w:lvlText w:val="%1."/>
      <w:lvlJc w:val="left"/>
      <w:pPr>
        <w:ind w:left="720" w:hanging="360"/>
      </w:pPr>
      <w:rPr>
        <w:rFonts w:hint="default"/>
      </w:rPr>
    </w:lvl>
    <w:lvl w:ilvl="1" w:tplc="280A0011">
      <w:start w:val="1"/>
      <w:numFmt w:val="decimal"/>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abstractNumId w:val="2"/>
  </w:num>
  <w:num w:numId="2">
    <w:abstractNumId w:val="25"/>
  </w:num>
  <w:num w:numId="3">
    <w:abstractNumId w:val="12"/>
  </w:num>
  <w:num w:numId="4">
    <w:abstractNumId w:val="19"/>
  </w:num>
  <w:num w:numId="5">
    <w:abstractNumId w:val="34"/>
  </w:num>
  <w:num w:numId="6">
    <w:abstractNumId w:val="0"/>
  </w:num>
  <w:num w:numId="7">
    <w:abstractNumId w:val="1"/>
  </w:num>
  <w:num w:numId="8">
    <w:abstractNumId w:val="37"/>
  </w:num>
  <w:num w:numId="9">
    <w:abstractNumId w:val="31"/>
  </w:num>
  <w:num w:numId="10">
    <w:abstractNumId w:val="29"/>
  </w:num>
  <w:num w:numId="11">
    <w:abstractNumId w:val="6"/>
  </w:num>
  <w:num w:numId="12">
    <w:abstractNumId w:val="14"/>
  </w:num>
  <w:num w:numId="13">
    <w:abstractNumId w:val="38"/>
  </w:num>
  <w:num w:numId="14">
    <w:abstractNumId w:val="20"/>
  </w:num>
  <w:num w:numId="15">
    <w:abstractNumId w:val="21"/>
  </w:num>
  <w:num w:numId="16">
    <w:abstractNumId w:val="18"/>
  </w:num>
  <w:num w:numId="17">
    <w:abstractNumId w:val="9"/>
  </w:num>
  <w:num w:numId="18">
    <w:abstractNumId w:val="24"/>
  </w:num>
  <w:num w:numId="19">
    <w:abstractNumId w:val="35"/>
  </w:num>
  <w:num w:numId="20">
    <w:abstractNumId w:val="8"/>
  </w:num>
  <w:num w:numId="21">
    <w:abstractNumId w:val="27"/>
  </w:num>
  <w:num w:numId="22">
    <w:abstractNumId w:val="23"/>
  </w:num>
  <w:num w:numId="23">
    <w:abstractNumId w:val="30"/>
  </w:num>
  <w:num w:numId="24">
    <w:abstractNumId w:val="39"/>
  </w:num>
  <w:num w:numId="25">
    <w:abstractNumId w:val="26"/>
  </w:num>
  <w:num w:numId="26">
    <w:abstractNumId w:val="28"/>
  </w:num>
  <w:num w:numId="27">
    <w:abstractNumId w:val="33"/>
  </w:num>
  <w:num w:numId="28">
    <w:abstractNumId w:val="16"/>
  </w:num>
  <w:num w:numId="29">
    <w:abstractNumId w:val="5"/>
  </w:num>
  <w:num w:numId="30">
    <w:abstractNumId w:val="32"/>
  </w:num>
  <w:num w:numId="31">
    <w:abstractNumId w:val="4"/>
  </w:num>
  <w:num w:numId="32">
    <w:abstractNumId w:val="22"/>
  </w:num>
  <w:num w:numId="33">
    <w:abstractNumId w:val="10"/>
  </w:num>
  <w:num w:numId="34">
    <w:abstractNumId w:val="3"/>
  </w:num>
  <w:num w:numId="35">
    <w:abstractNumId w:val="15"/>
  </w:num>
  <w:num w:numId="36">
    <w:abstractNumId w:val="13"/>
  </w:num>
  <w:num w:numId="37">
    <w:abstractNumId w:val="7"/>
  </w:num>
  <w:num w:numId="38">
    <w:abstractNumId w:val="17"/>
  </w:num>
  <w:num w:numId="39">
    <w:abstractNumId w:val="36"/>
  </w:num>
  <w:num w:numId="4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activeWritingStyle w:appName="MSWord" w:lang="pt-BR" w:vendorID="64" w:dllVersion="6" w:nlCheck="1" w:checkStyle="0"/>
  <w:activeWritingStyle w:appName="MSWord" w:lang="es-PE" w:vendorID="64" w:dllVersion="6" w:nlCheck="1" w:checkStyle="1"/>
  <w:activeWritingStyle w:appName="MSWord" w:lang="es-PE" w:vendorID="64" w:dllVersion="0" w:nlCheck="1" w:checkStyle="0"/>
  <w:activeWritingStyle w:appName="MSWord" w:lang="es-ES" w:vendorID="64" w:dllVersion="0" w:nlCheck="1" w:checkStyle="0"/>
  <w:activeWritingStyle w:appName="MSWord" w:lang="pt-BR" w:vendorID="64" w:dllVersion="0" w:nlCheck="1" w:checkStyle="0"/>
  <w:activeWritingStyle w:appName="MSWord" w:lang="es-ES" w:vendorID="64" w:dllVersion="6" w:nlCheck="1" w:checkStyle="1"/>
  <w:activeWritingStyle w:appName="MSWord" w:lang="es-ES_tradnl" w:vendorID="64" w:dllVersion="0" w:nlCheck="1" w:checkStyle="0"/>
  <w:activeWritingStyle w:appName="MSWord" w:lang="es-MX" w:vendorID="64" w:dllVersion="0" w:nlCheck="1" w:checkStyle="0"/>
  <w:activeWritingStyle w:appName="MSWord" w:lang="es-PE" w:vendorID="64" w:dllVersion="4096" w:nlCheck="1" w:checkStyle="0"/>
  <w:activeWritingStyle w:appName="MSWord" w:lang="es-ES" w:vendorID="64" w:dllVersion="4096"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1A74"/>
    <w:rsid w:val="000057A6"/>
    <w:rsid w:val="00006319"/>
    <w:rsid w:val="000078FF"/>
    <w:rsid w:val="00012881"/>
    <w:rsid w:val="000132D5"/>
    <w:rsid w:val="00013C9D"/>
    <w:rsid w:val="000169DC"/>
    <w:rsid w:val="00021B01"/>
    <w:rsid w:val="00023B80"/>
    <w:rsid w:val="0003263D"/>
    <w:rsid w:val="0004397C"/>
    <w:rsid w:val="00043D9C"/>
    <w:rsid w:val="000460A8"/>
    <w:rsid w:val="00046388"/>
    <w:rsid w:val="00047148"/>
    <w:rsid w:val="00050288"/>
    <w:rsid w:val="00051C1A"/>
    <w:rsid w:val="00051CD2"/>
    <w:rsid w:val="000541A5"/>
    <w:rsid w:val="00062A45"/>
    <w:rsid w:val="000640A8"/>
    <w:rsid w:val="00065959"/>
    <w:rsid w:val="000701A0"/>
    <w:rsid w:val="000719CD"/>
    <w:rsid w:val="000775B9"/>
    <w:rsid w:val="00080115"/>
    <w:rsid w:val="0008066D"/>
    <w:rsid w:val="00082040"/>
    <w:rsid w:val="00082890"/>
    <w:rsid w:val="000835A6"/>
    <w:rsid w:val="00083E2C"/>
    <w:rsid w:val="0008575F"/>
    <w:rsid w:val="00085B03"/>
    <w:rsid w:val="000935C5"/>
    <w:rsid w:val="00094607"/>
    <w:rsid w:val="000947B7"/>
    <w:rsid w:val="000A21A0"/>
    <w:rsid w:val="000A5657"/>
    <w:rsid w:val="000A6362"/>
    <w:rsid w:val="000B202F"/>
    <w:rsid w:val="000B4EEE"/>
    <w:rsid w:val="000B5806"/>
    <w:rsid w:val="000B5BEE"/>
    <w:rsid w:val="000C4BB9"/>
    <w:rsid w:val="000C4E24"/>
    <w:rsid w:val="000C54D5"/>
    <w:rsid w:val="000C59E4"/>
    <w:rsid w:val="000D1DED"/>
    <w:rsid w:val="000D2CF2"/>
    <w:rsid w:val="000E0FCC"/>
    <w:rsid w:val="000E2E5C"/>
    <w:rsid w:val="000E37EC"/>
    <w:rsid w:val="000E3A70"/>
    <w:rsid w:val="000E441E"/>
    <w:rsid w:val="000E57A0"/>
    <w:rsid w:val="000E6ECC"/>
    <w:rsid w:val="000F0F69"/>
    <w:rsid w:val="000F440C"/>
    <w:rsid w:val="000F7471"/>
    <w:rsid w:val="00101880"/>
    <w:rsid w:val="00104376"/>
    <w:rsid w:val="001043BB"/>
    <w:rsid w:val="00105DB9"/>
    <w:rsid w:val="00106D1B"/>
    <w:rsid w:val="00107ABD"/>
    <w:rsid w:val="00112966"/>
    <w:rsid w:val="00113E9C"/>
    <w:rsid w:val="00115663"/>
    <w:rsid w:val="00117733"/>
    <w:rsid w:val="001206EE"/>
    <w:rsid w:val="00123209"/>
    <w:rsid w:val="00123313"/>
    <w:rsid w:val="00124622"/>
    <w:rsid w:val="00124B54"/>
    <w:rsid w:val="00126656"/>
    <w:rsid w:val="001274DA"/>
    <w:rsid w:val="001342CE"/>
    <w:rsid w:val="0014104E"/>
    <w:rsid w:val="00146979"/>
    <w:rsid w:val="00147030"/>
    <w:rsid w:val="001514D9"/>
    <w:rsid w:val="001517C5"/>
    <w:rsid w:val="00151AAF"/>
    <w:rsid w:val="00157490"/>
    <w:rsid w:val="00160501"/>
    <w:rsid w:val="001662C1"/>
    <w:rsid w:val="001663CF"/>
    <w:rsid w:val="00167728"/>
    <w:rsid w:val="00167B10"/>
    <w:rsid w:val="00167BD2"/>
    <w:rsid w:val="001701BE"/>
    <w:rsid w:val="00170623"/>
    <w:rsid w:val="00170EED"/>
    <w:rsid w:val="001715DD"/>
    <w:rsid w:val="00172C0D"/>
    <w:rsid w:val="00173B92"/>
    <w:rsid w:val="00174375"/>
    <w:rsid w:val="00175B81"/>
    <w:rsid w:val="00176D36"/>
    <w:rsid w:val="0018152B"/>
    <w:rsid w:val="00194C68"/>
    <w:rsid w:val="00194D60"/>
    <w:rsid w:val="001A0607"/>
    <w:rsid w:val="001A16D1"/>
    <w:rsid w:val="001A39BA"/>
    <w:rsid w:val="001A4A19"/>
    <w:rsid w:val="001A7232"/>
    <w:rsid w:val="001A737E"/>
    <w:rsid w:val="001B13D5"/>
    <w:rsid w:val="001B6FF5"/>
    <w:rsid w:val="001B7F31"/>
    <w:rsid w:val="001C0CC6"/>
    <w:rsid w:val="001C3F5E"/>
    <w:rsid w:val="001C54F4"/>
    <w:rsid w:val="001C566D"/>
    <w:rsid w:val="001C56ED"/>
    <w:rsid w:val="001D27B9"/>
    <w:rsid w:val="001D2A48"/>
    <w:rsid w:val="001D36E2"/>
    <w:rsid w:val="001D5ADE"/>
    <w:rsid w:val="001D6930"/>
    <w:rsid w:val="001D6B2E"/>
    <w:rsid w:val="001D6FA3"/>
    <w:rsid w:val="001D77A3"/>
    <w:rsid w:val="001E6497"/>
    <w:rsid w:val="001F0199"/>
    <w:rsid w:val="001F0B29"/>
    <w:rsid w:val="001F10C7"/>
    <w:rsid w:val="001F11FA"/>
    <w:rsid w:val="001F22C1"/>
    <w:rsid w:val="001F34A3"/>
    <w:rsid w:val="001F34AD"/>
    <w:rsid w:val="001F714E"/>
    <w:rsid w:val="001F7949"/>
    <w:rsid w:val="00210217"/>
    <w:rsid w:val="00210F30"/>
    <w:rsid w:val="00213148"/>
    <w:rsid w:val="0021641F"/>
    <w:rsid w:val="00217F3B"/>
    <w:rsid w:val="00220A13"/>
    <w:rsid w:val="00222259"/>
    <w:rsid w:val="00223C68"/>
    <w:rsid w:val="00224EC6"/>
    <w:rsid w:val="00234E66"/>
    <w:rsid w:val="002379E9"/>
    <w:rsid w:val="002413D1"/>
    <w:rsid w:val="00241DD5"/>
    <w:rsid w:val="00243C52"/>
    <w:rsid w:val="00244481"/>
    <w:rsid w:val="00247331"/>
    <w:rsid w:val="002508F0"/>
    <w:rsid w:val="002531F8"/>
    <w:rsid w:val="002548A7"/>
    <w:rsid w:val="00256F08"/>
    <w:rsid w:val="00262053"/>
    <w:rsid w:val="0026512D"/>
    <w:rsid w:val="0026555C"/>
    <w:rsid w:val="002659F2"/>
    <w:rsid w:val="00266C0C"/>
    <w:rsid w:val="00270D32"/>
    <w:rsid w:val="002761D0"/>
    <w:rsid w:val="00276466"/>
    <w:rsid w:val="00282F39"/>
    <w:rsid w:val="00287F7E"/>
    <w:rsid w:val="0029081A"/>
    <w:rsid w:val="0029186A"/>
    <w:rsid w:val="00293D7D"/>
    <w:rsid w:val="002941F6"/>
    <w:rsid w:val="002A1B30"/>
    <w:rsid w:val="002A4E75"/>
    <w:rsid w:val="002A669B"/>
    <w:rsid w:val="002A6B69"/>
    <w:rsid w:val="002B02AD"/>
    <w:rsid w:val="002B22A0"/>
    <w:rsid w:val="002B4159"/>
    <w:rsid w:val="002B4F31"/>
    <w:rsid w:val="002B792F"/>
    <w:rsid w:val="002C0E08"/>
    <w:rsid w:val="002D4659"/>
    <w:rsid w:val="002D687A"/>
    <w:rsid w:val="002E2C97"/>
    <w:rsid w:val="002E5818"/>
    <w:rsid w:val="002E67AE"/>
    <w:rsid w:val="002E7E9F"/>
    <w:rsid w:val="002F09E8"/>
    <w:rsid w:val="002F0CA1"/>
    <w:rsid w:val="002F1F25"/>
    <w:rsid w:val="002F5AC4"/>
    <w:rsid w:val="00300280"/>
    <w:rsid w:val="00301B63"/>
    <w:rsid w:val="003034F2"/>
    <w:rsid w:val="00304B26"/>
    <w:rsid w:val="00304F41"/>
    <w:rsid w:val="00305136"/>
    <w:rsid w:val="0030567E"/>
    <w:rsid w:val="0030637A"/>
    <w:rsid w:val="0031441F"/>
    <w:rsid w:val="00315861"/>
    <w:rsid w:val="00315A51"/>
    <w:rsid w:val="00315FAE"/>
    <w:rsid w:val="00321114"/>
    <w:rsid w:val="003269C9"/>
    <w:rsid w:val="003320F4"/>
    <w:rsid w:val="0033326A"/>
    <w:rsid w:val="00334846"/>
    <w:rsid w:val="003359AC"/>
    <w:rsid w:val="00336CEC"/>
    <w:rsid w:val="00345672"/>
    <w:rsid w:val="00346B6F"/>
    <w:rsid w:val="0034783E"/>
    <w:rsid w:val="00351040"/>
    <w:rsid w:val="00353306"/>
    <w:rsid w:val="00355325"/>
    <w:rsid w:val="00356422"/>
    <w:rsid w:val="0035687B"/>
    <w:rsid w:val="003570C7"/>
    <w:rsid w:val="00360ECF"/>
    <w:rsid w:val="00360F8C"/>
    <w:rsid w:val="00361618"/>
    <w:rsid w:val="00361FD1"/>
    <w:rsid w:val="003645D0"/>
    <w:rsid w:val="00365F3C"/>
    <w:rsid w:val="00367E5A"/>
    <w:rsid w:val="00373C2D"/>
    <w:rsid w:val="00374F32"/>
    <w:rsid w:val="003757D2"/>
    <w:rsid w:val="00376A1D"/>
    <w:rsid w:val="00377C74"/>
    <w:rsid w:val="00377ECB"/>
    <w:rsid w:val="00386D3C"/>
    <w:rsid w:val="00387EFE"/>
    <w:rsid w:val="00390D5C"/>
    <w:rsid w:val="00391E45"/>
    <w:rsid w:val="0039266E"/>
    <w:rsid w:val="00392E28"/>
    <w:rsid w:val="0039560B"/>
    <w:rsid w:val="003978E7"/>
    <w:rsid w:val="003979FC"/>
    <w:rsid w:val="003A0A4E"/>
    <w:rsid w:val="003A19AC"/>
    <w:rsid w:val="003A497B"/>
    <w:rsid w:val="003A51A4"/>
    <w:rsid w:val="003B020E"/>
    <w:rsid w:val="003B08DB"/>
    <w:rsid w:val="003B1EB5"/>
    <w:rsid w:val="003B2289"/>
    <w:rsid w:val="003B3631"/>
    <w:rsid w:val="003B46EF"/>
    <w:rsid w:val="003B4817"/>
    <w:rsid w:val="003C1C7E"/>
    <w:rsid w:val="003C23D4"/>
    <w:rsid w:val="003C4DD1"/>
    <w:rsid w:val="003C7C4C"/>
    <w:rsid w:val="003D04C5"/>
    <w:rsid w:val="003D0E4E"/>
    <w:rsid w:val="003D3054"/>
    <w:rsid w:val="003D49A4"/>
    <w:rsid w:val="003D4C9E"/>
    <w:rsid w:val="003D539F"/>
    <w:rsid w:val="003D5C21"/>
    <w:rsid w:val="003D6B2C"/>
    <w:rsid w:val="003E0884"/>
    <w:rsid w:val="003E5821"/>
    <w:rsid w:val="003E6EC8"/>
    <w:rsid w:val="003F38A5"/>
    <w:rsid w:val="003F4A09"/>
    <w:rsid w:val="003F53CD"/>
    <w:rsid w:val="003F77D3"/>
    <w:rsid w:val="00402DF0"/>
    <w:rsid w:val="00405178"/>
    <w:rsid w:val="00405499"/>
    <w:rsid w:val="00420F15"/>
    <w:rsid w:val="004216FC"/>
    <w:rsid w:val="00422872"/>
    <w:rsid w:val="00423197"/>
    <w:rsid w:val="00423442"/>
    <w:rsid w:val="00424A1F"/>
    <w:rsid w:val="00426155"/>
    <w:rsid w:val="00426689"/>
    <w:rsid w:val="004305FF"/>
    <w:rsid w:val="004319D8"/>
    <w:rsid w:val="00431E1B"/>
    <w:rsid w:val="004354D7"/>
    <w:rsid w:val="00443347"/>
    <w:rsid w:val="00444B17"/>
    <w:rsid w:val="00450FFC"/>
    <w:rsid w:val="0045236B"/>
    <w:rsid w:val="004557CD"/>
    <w:rsid w:val="00460E67"/>
    <w:rsid w:val="00461FE2"/>
    <w:rsid w:val="00462858"/>
    <w:rsid w:val="004660F9"/>
    <w:rsid w:val="00470451"/>
    <w:rsid w:val="00473471"/>
    <w:rsid w:val="00476C36"/>
    <w:rsid w:val="00483132"/>
    <w:rsid w:val="004847C0"/>
    <w:rsid w:val="00487045"/>
    <w:rsid w:val="00487E3B"/>
    <w:rsid w:val="00491DDF"/>
    <w:rsid w:val="0049202D"/>
    <w:rsid w:val="00493CAC"/>
    <w:rsid w:val="004A5BD2"/>
    <w:rsid w:val="004B03A6"/>
    <w:rsid w:val="004B15B8"/>
    <w:rsid w:val="004B187B"/>
    <w:rsid w:val="004B2A3B"/>
    <w:rsid w:val="004B3409"/>
    <w:rsid w:val="004B3DB2"/>
    <w:rsid w:val="004C314B"/>
    <w:rsid w:val="004D0A63"/>
    <w:rsid w:val="004D24F7"/>
    <w:rsid w:val="004D6C99"/>
    <w:rsid w:val="004E1D72"/>
    <w:rsid w:val="004E2124"/>
    <w:rsid w:val="004E399A"/>
    <w:rsid w:val="004E3F9F"/>
    <w:rsid w:val="004E548D"/>
    <w:rsid w:val="004E6310"/>
    <w:rsid w:val="004E7B1F"/>
    <w:rsid w:val="004F2CDE"/>
    <w:rsid w:val="004F2D7E"/>
    <w:rsid w:val="004F3F3C"/>
    <w:rsid w:val="004F4D12"/>
    <w:rsid w:val="005003A4"/>
    <w:rsid w:val="00500CD4"/>
    <w:rsid w:val="00501F13"/>
    <w:rsid w:val="00502544"/>
    <w:rsid w:val="0050570C"/>
    <w:rsid w:val="00507D17"/>
    <w:rsid w:val="0051246A"/>
    <w:rsid w:val="00516236"/>
    <w:rsid w:val="00516D25"/>
    <w:rsid w:val="0052080A"/>
    <w:rsid w:val="0052134F"/>
    <w:rsid w:val="00524C60"/>
    <w:rsid w:val="005313F6"/>
    <w:rsid w:val="00532702"/>
    <w:rsid w:val="0053356A"/>
    <w:rsid w:val="00535F7B"/>
    <w:rsid w:val="00540F38"/>
    <w:rsid w:val="0054234F"/>
    <w:rsid w:val="00545C51"/>
    <w:rsid w:val="00546F69"/>
    <w:rsid w:val="00546F7B"/>
    <w:rsid w:val="00547C0F"/>
    <w:rsid w:val="00550C4D"/>
    <w:rsid w:val="00551F8D"/>
    <w:rsid w:val="005528F7"/>
    <w:rsid w:val="005532F4"/>
    <w:rsid w:val="00553B10"/>
    <w:rsid w:val="00556A7F"/>
    <w:rsid w:val="00560DB9"/>
    <w:rsid w:val="00566163"/>
    <w:rsid w:val="005679C9"/>
    <w:rsid w:val="0057004B"/>
    <w:rsid w:val="005709D7"/>
    <w:rsid w:val="0057513E"/>
    <w:rsid w:val="005774D7"/>
    <w:rsid w:val="00580E95"/>
    <w:rsid w:val="0058191A"/>
    <w:rsid w:val="00583150"/>
    <w:rsid w:val="00583FC5"/>
    <w:rsid w:val="00584BA4"/>
    <w:rsid w:val="00585356"/>
    <w:rsid w:val="00586589"/>
    <w:rsid w:val="00587983"/>
    <w:rsid w:val="00591A74"/>
    <w:rsid w:val="00592D6A"/>
    <w:rsid w:val="00593459"/>
    <w:rsid w:val="005934D1"/>
    <w:rsid w:val="00594BEB"/>
    <w:rsid w:val="00597045"/>
    <w:rsid w:val="005973C1"/>
    <w:rsid w:val="005A1537"/>
    <w:rsid w:val="005A159F"/>
    <w:rsid w:val="005A2A75"/>
    <w:rsid w:val="005A4D56"/>
    <w:rsid w:val="005A5F36"/>
    <w:rsid w:val="005A7280"/>
    <w:rsid w:val="005A72DE"/>
    <w:rsid w:val="005B37EF"/>
    <w:rsid w:val="005B41DB"/>
    <w:rsid w:val="005B5DA7"/>
    <w:rsid w:val="005B62FB"/>
    <w:rsid w:val="005B7804"/>
    <w:rsid w:val="005C0086"/>
    <w:rsid w:val="005C03DA"/>
    <w:rsid w:val="005C0764"/>
    <w:rsid w:val="005C0CB9"/>
    <w:rsid w:val="005C3831"/>
    <w:rsid w:val="005C38AE"/>
    <w:rsid w:val="005C5FE8"/>
    <w:rsid w:val="005D022C"/>
    <w:rsid w:val="005D53AA"/>
    <w:rsid w:val="005D5C54"/>
    <w:rsid w:val="005D7106"/>
    <w:rsid w:val="005D7BB1"/>
    <w:rsid w:val="005E107C"/>
    <w:rsid w:val="005E2B75"/>
    <w:rsid w:val="005F05E4"/>
    <w:rsid w:val="005F0A0A"/>
    <w:rsid w:val="005F289B"/>
    <w:rsid w:val="005F2E44"/>
    <w:rsid w:val="005F46F2"/>
    <w:rsid w:val="005F5EDE"/>
    <w:rsid w:val="006024D8"/>
    <w:rsid w:val="00603465"/>
    <w:rsid w:val="0061299D"/>
    <w:rsid w:val="00612FC8"/>
    <w:rsid w:val="00613536"/>
    <w:rsid w:val="00614802"/>
    <w:rsid w:val="006152A0"/>
    <w:rsid w:val="00617B07"/>
    <w:rsid w:val="00617ECD"/>
    <w:rsid w:val="00620106"/>
    <w:rsid w:val="00620D99"/>
    <w:rsid w:val="00623680"/>
    <w:rsid w:val="00624425"/>
    <w:rsid w:val="00624D88"/>
    <w:rsid w:val="006303DA"/>
    <w:rsid w:val="00631529"/>
    <w:rsid w:val="00631714"/>
    <w:rsid w:val="00633388"/>
    <w:rsid w:val="00636F3C"/>
    <w:rsid w:val="00637C90"/>
    <w:rsid w:val="0064080A"/>
    <w:rsid w:val="00640AB4"/>
    <w:rsid w:val="00641AD5"/>
    <w:rsid w:val="00642903"/>
    <w:rsid w:val="00643534"/>
    <w:rsid w:val="006435C4"/>
    <w:rsid w:val="0064579B"/>
    <w:rsid w:val="00647D4A"/>
    <w:rsid w:val="006508CD"/>
    <w:rsid w:val="006518AE"/>
    <w:rsid w:val="0065192A"/>
    <w:rsid w:val="0065257A"/>
    <w:rsid w:val="006571E6"/>
    <w:rsid w:val="00662CD6"/>
    <w:rsid w:val="00662CEE"/>
    <w:rsid w:val="006630A3"/>
    <w:rsid w:val="006632AE"/>
    <w:rsid w:val="006674CB"/>
    <w:rsid w:val="00670DBC"/>
    <w:rsid w:val="0067196A"/>
    <w:rsid w:val="00673261"/>
    <w:rsid w:val="00677B40"/>
    <w:rsid w:val="006807FE"/>
    <w:rsid w:val="00681AE0"/>
    <w:rsid w:val="00683F9A"/>
    <w:rsid w:val="006848ED"/>
    <w:rsid w:val="006852DD"/>
    <w:rsid w:val="00686BC5"/>
    <w:rsid w:val="0068754E"/>
    <w:rsid w:val="00687B78"/>
    <w:rsid w:val="0069134D"/>
    <w:rsid w:val="00694BE4"/>
    <w:rsid w:val="00694D8F"/>
    <w:rsid w:val="00695509"/>
    <w:rsid w:val="006967D9"/>
    <w:rsid w:val="006A1B8D"/>
    <w:rsid w:val="006A52D1"/>
    <w:rsid w:val="006A656A"/>
    <w:rsid w:val="006B0DA7"/>
    <w:rsid w:val="006B220C"/>
    <w:rsid w:val="006B36B5"/>
    <w:rsid w:val="006B3F88"/>
    <w:rsid w:val="006B5340"/>
    <w:rsid w:val="006B6F57"/>
    <w:rsid w:val="006C0E0A"/>
    <w:rsid w:val="006C3071"/>
    <w:rsid w:val="006C4646"/>
    <w:rsid w:val="006C63FF"/>
    <w:rsid w:val="006C7D6D"/>
    <w:rsid w:val="006D074D"/>
    <w:rsid w:val="006D21A5"/>
    <w:rsid w:val="006D6D8D"/>
    <w:rsid w:val="006D7B17"/>
    <w:rsid w:val="006E52A5"/>
    <w:rsid w:val="006E7490"/>
    <w:rsid w:val="006F0F74"/>
    <w:rsid w:val="006F1A01"/>
    <w:rsid w:val="006F1D8F"/>
    <w:rsid w:val="006F6F6F"/>
    <w:rsid w:val="007006C6"/>
    <w:rsid w:val="00700D55"/>
    <w:rsid w:val="007019A8"/>
    <w:rsid w:val="00704DAD"/>
    <w:rsid w:val="00707269"/>
    <w:rsid w:val="00707320"/>
    <w:rsid w:val="00711AEA"/>
    <w:rsid w:val="00712212"/>
    <w:rsid w:val="00712D2B"/>
    <w:rsid w:val="00713551"/>
    <w:rsid w:val="00713625"/>
    <w:rsid w:val="0071491A"/>
    <w:rsid w:val="00717E5B"/>
    <w:rsid w:val="00720F93"/>
    <w:rsid w:val="0072211B"/>
    <w:rsid w:val="00723A43"/>
    <w:rsid w:val="007242E4"/>
    <w:rsid w:val="00725B5E"/>
    <w:rsid w:val="00731435"/>
    <w:rsid w:val="00741670"/>
    <w:rsid w:val="00741F19"/>
    <w:rsid w:val="0074242A"/>
    <w:rsid w:val="00745182"/>
    <w:rsid w:val="00745AE0"/>
    <w:rsid w:val="00745E36"/>
    <w:rsid w:val="007462CE"/>
    <w:rsid w:val="00747CCE"/>
    <w:rsid w:val="007506AC"/>
    <w:rsid w:val="00751578"/>
    <w:rsid w:val="00751701"/>
    <w:rsid w:val="00752D13"/>
    <w:rsid w:val="00756ACB"/>
    <w:rsid w:val="00756BC2"/>
    <w:rsid w:val="00756DD0"/>
    <w:rsid w:val="007623DE"/>
    <w:rsid w:val="00764F8C"/>
    <w:rsid w:val="007651C2"/>
    <w:rsid w:val="00767B6A"/>
    <w:rsid w:val="007703F3"/>
    <w:rsid w:val="007711AA"/>
    <w:rsid w:val="007724FF"/>
    <w:rsid w:val="00772829"/>
    <w:rsid w:val="0077398A"/>
    <w:rsid w:val="0077453B"/>
    <w:rsid w:val="007755F1"/>
    <w:rsid w:val="00776882"/>
    <w:rsid w:val="0077724C"/>
    <w:rsid w:val="00781128"/>
    <w:rsid w:val="0078119C"/>
    <w:rsid w:val="00781824"/>
    <w:rsid w:val="007822BB"/>
    <w:rsid w:val="007828BA"/>
    <w:rsid w:val="00783546"/>
    <w:rsid w:val="00783A44"/>
    <w:rsid w:val="00785E11"/>
    <w:rsid w:val="0079023D"/>
    <w:rsid w:val="00790B99"/>
    <w:rsid w:val="007914CD"/>
    <w:rsid w:val="00791C1E"/>
    <w:rsid w:val="007937B2"/>
    <w:rsid w:val="007A035F"/>
    <w:rsid w:val="007B0283"/>
    <w:rsid w:val="007B759C"/>
    <w:rsid w:val="007C0FDD"/>
    <w:rsid w:val="007C1C39"/>
    <w:rsid w:val="007C378A"/>
    <w:rsid w:val="007C5C7C"/>
    <w:rsid w:val="007C7BE8"/>
    <w:rsid w:val="007D0EDE"/>
    <w:rsid w:val="007D1D50"/>
    <w:rsid w:val="007E0D45"/>
    <w:rsid w:val="007E1569"/>
    <w:rsid w:val="007E1630"/>
    <w:rsid w:val="007E2A6C"/>
    <w:rsid w:val="007E3F99"/>
    <w:rsid w:val="007E4093"/>
    <w:rsid w:val="007E5B1E"/>
    <w:rsid w:val="007E76AE"/>
    <w:rsid w:val="007F019B"/>
    <w:rsid w:val="007F09B5"/>
    <w:rsid w:val="007F34CF"/>
    <w:rsid w:val="007F55DA"/>
    <w:rsid w:val="008009A9"/>
    <w:rsid w:val="0080146A"/>
    <w:rsid w:val="00802203"/>
    <w:rsid w:val="0080224C"/>
    <w:rsid w:val="00804F56"/>
    <w:rsid w:val="00806B9A"/>
    <w:rsid w:val="008100AF"/>
    <w:rsid w:val="0081078E"/>
    <w:rsid w:val="00811719"/>
    <w:rsid w:val="008161C8"/>
    <w:rsid w:val="00816731"/>
    <w:rsid w:val="0082044E"/>
    <w:rsid w:val="00820786"/>
    <w:rsid w:val="008218E7"/>
    <w:rsid w:val="008263AF"/>
    <w:rsid w:val="0082799C"/>
    <w:rsid w:val="00832228"/>
    <w:rsid w:val="0083320F"/>
    <w:rsid w:val="00835A91"/>
    <w:rsid w:val="008366BC"/>
    <w:rsid w:val="00843746"/>
    <w:rsid w:val="008453D0"/>
    <w:rsid w:val="00845D12"/>
    <w:rsid w:val="00846579"/>
    <w:rsid w:val="00850F3A"/>
    <w:rsid w:val="00852013"/>
    <w:rsid w:val="00853FEF"/>
    <w:rsid w:val="008575DC"/>
    <w:rsid w:val="00860102"/>
    <w:rsid w:val="008624AD"/>
    <w:rsid w:val="00865364"/>
    <w:rsid w:val="0086623A"/>
    <w:rsid w:val="00866512"/>
    <w:rsid w:val="0087068A"/>
    <w:rsid w:val="008706C0"/>
    <w:rsid w:val="00871E2C"/>
    <w:rsid w:val="00872BDF"/>
    <w:rsid w:val="00874EDD"/>
    <w:rsid w:val="00875025"/>
    <w:rsid w:val="00875BCA"/>
    <w:rsid w:val="00876AA3"/>
    <w:rsid w:val="00877C1C"/>
    <w:rsid w:val="00881876"/>
    <w:rsid w:val="008827C6"/>
    <w:rsid w:val="00883F5A"/>
    <w:rsid w:val="008841F8"/>
    <w:rsid w:val="00892470"/>
    <w:rsid w:val="008958A6"/>
    <w:rsid w:val="008973C6"/>
    <w:rsid w:val="008A0EB2"/>
    <w:rsid w:val="008A7023"/>
    <w:rsid w:val="008B04C4"/>
    <w:rsid w:val="008B0962"/>
    <w:rsid w:val="008B5CBB"/>
    <w:rsid w:val="008B6B81"/>
    <w:rsid w:val="008C14CD"/>
    <w:rsid w:val="008C2D56"/>
    <w:rsid w:val="008C2E88"/>
    <w:rsid w:val="008C3CE7"/>
    <w:rsid w:val="008C632C"/>
    <w:rsid w:val="008C739D"/>
    <w:rsid w:val="008D01E8"/>
    <w:rsid w:val="008D3F9F"/>
    <w:rsid w:val="008D7E78"/>
    <w:rsid w:val="008E22F8"/>
    <w:rsid w:val="008E2ECC"/>
    <w:rsid w:val="008E4263"/>
    <w:rsid w:val="008E5C8C"/>
    <w:rsid w:val="008E6206"/>
    <w:rsid w:val="008E68A1"/>
    <w:rsid w:val="008F0A51"/>
    <w:rsid w:val="008F369A"/>
    <w:rsid w:val="008F67FB"/>
    <w:rsid w:val="008F7917"/>
    <w:rsid w:val="008F7F00"/>
    <w:rsid w:val="00900313"/>
    <w:rsid w:val="009028FB"/>
    <w:rsid w:val="00905CCA"/>
    <w:rsid w:val="009077F0"/>
    <w:rsid w:val="00907999"/>
    <w:rsid w:val="009101C3"/>
    <w:rsid w:val="00910525"/>
    <w:rsid w:val="00911F66"/>
    <w:rsid w:val="0091325D"/>
    <w:rsid w:val="009163F5"/>
    <w:rsid w:val="00917132"/>
    <w:rsid w:val="0092187D"/>
    <w:rsid w:val="009221FB"/>
    <w:rsid w:val="0092394C"/>
    <w:rsid w:val="00925383"/>
    <w:rsid w:val="0092674A"/>
    <w:rsid w:val="009320FD"/>
    <w:rsid w:val="0093713D"/>
    <w:rsid w:val="0093720D"/>
    <w:rsid w:val="0093726B"/>
    <w:rsid w:val="00940BDF"/>
    <w:rsid w:val="009411A7"/>
    <w:rsid w:val="00941BD7"/>
    <w:rsid w:val="00943E63"/>
    <w:rsid w:val="00944A48"/>
    <w:rsid w:val="00944DB4"/>
    <w:rsid w:val="00951EF3"/>
    <w:rsid w:val="00956CFD"/>
    <w:rsid w:val="00960B1A"/>
    <w:rsid w:val="00964A2B"/>
    <w:rsid w:val="00965BD8"/>
    <w:rsid w:val="009716F9"/>
    <w:rsid w:val="0097360C"/>
    <w:rsid w:val="009751E3"/>
    <w:rsid w:val="0097541E"/>
    <w:rsid w:val="00975907"/>
    <w:rsid w:val="00977975"/>
    <w:rsid w:val="00981702"/>
    <w:rsid w:val="009864AA"/>
    <w:rsid w:val="00991052"/>
    <w:rsid w:val="00991092"/>
    <w:rsid w:val="00993549"/>
    <w:rsid w:val="009939C4"/>
    <w:rsid w:val="009951FC"/>
    <w:rsid w:val="00996A2A"/>
    <w:rsid w:val="00997B87"/>
    <w:rsid w:val="009A03C0"/>
    <w:rsid w:val="009A1BAB"/>
    <w:rsid w:val="009A2E3F"/>
    <w:rsid w:val="009A653E"/>
    <w:rsid w:val="009B0966"/>
    <w:rsid w:val="009B10DF"/>
    <w:rsid w:val="009B12E6"/>
    <w:rsid w:val="009B5C4B"/>
    <w:rsid w:val="009C136E"/>
    <w:rsid w:val="009C29E3"/>
    <w:rsid w:val="009C673B"/>
    <w:rsid w:val="009D0D70"/>
    <w:rsid w:val="009D2F50"/>
    <w:rsid w:val="009D449A"/>
    <w:rsid w:val="009D5FDA"/>
    <w:rsid w:val="009D7F09"/>
    <w:rsid w:val="009E042E"/>
    <w:rsid w:val="009E1E66"/>
    <w:rsid w:val="009E6A3F"/>
    <w:rsid w:val="009E757B"/>
    <w:rsid w:val="009F57DE"/>
    <w:rsid w:val="009F7CCD"/>
    <w:rsid w:val="00A006B7"/>
    <w:rsid w:val="00A02937"/>
    <w:rsid w:val="00A03B4F"/>
    <w:rsid w:val="00A048AB"/>
    <w:rsid w:val="00A05D0A"/>
    <w:rsid w:val="00A11BC4"/>
    <w:rsid w:val="00A12E26"/>
    <w:rsid w:val="00A131C3"/>
    <w:rsid w:val="00A137E7"/>
    <w:rsid w:val="00A1519B"/>
    <w:rsid w:val="00A15400"/>
    <w:rsid w:val="00A17503"/>
    <w:rsid w:val="00A17EAD"/>
    <w:rsid w:val="00A2096A"/>
    <w:rsid w:val="00A20B99"/>
    <w:rsid w:val="00A20DAF"/>
    <w:rsid w:val="00A218EC"/>
    <w:rsid w:val="00A223CB"/>
    <w:rsid w:val="00A24124"/>
    <w:rsid w:val="00A25117"/>
    <w:rsid w:val="00A260EC"/>
    <w:rsid w:val="00A27D9A"/>
    <w:rsid w:val="00A301CB"/>
    <w:rsid w:val="00A3488D"/>
    <w:rsid w:val="00A367C8"/>
    <w:rsid w:val="00A4181C"/>
    <w:rsid w:val="00A43C1C"/>
    <w:rsid w:val="00A46640"/>
    <w:rsid w:val="00A50595"/>
    <w:rsid w:val="00A51D6C"/>
    <w:rsid w:val="00A52722"/>
    <w:rsid w:val="00A52E29"/>
    <w:rsid w:val="00A53155"/>
    <w:rsid w:val="00A53DC5"/>
    <w:rsid w:val="00A61931"/>
    <w:rsid w:val="00A61D4A"/>
    <w:rsid w:val="00A6245B"/>
    <w:rsid w:val="00A655DE"/>
    <w:rsid w:val="00A6672F"/>
    <w:rsid w:val="00A6690B"/>
    <w:rsid w:val="00A674DF"/>
    <w:rsid w:val="00A70EFF"/>
    <w:rsid w:val="00A70F99"/>
    <w:rsid w:val="00A718AB"/>
    <w:rsid w:val="00A7433B"/>
    <w:rsid w:val="00A7662E"/>
    <w:rsid w:val="00A82FA1"/>
    <w:rsid w:val="00A833B8"/>
    <w:rsid w:val="00A8599A"/>
    <w:rsid w:val="00A871F1"/>
    <w:rsid w:val="00A91DC1"/>
    <w:rsid w:val="00A9241A"/>
    <w:rsid w:val="00A952A3"/>
    <w:rsid w:val="00A96354"/>
    <w:rsid w:val="00A96446"/>
    <w:rsid w:val="00A9728F"/>
    <w:rsid w:val="00AA1C84"/>
    <w:rsid w:val="00AA4AF9"/>
    <w:rsid w:val="00AA570A"/>
    <w:rsid w:val="00AA5817"/>
    <w:rsid w:val="00AB00B8"/>
    <w:rsid w:val="00AB0AB7"/>
    <w:rsid w:val="00AB4975"/>
    <w:rsid w:val="00AB5296"/>
    <w:rsid w:val="00AC40DA"/>
    <w:rsid w:val="00AD256B"/>
    <w:rsid w:val="00AD4612"/>
    <w:rsid w:val="00AD53E9"/>
    <w:rsid w:val="00AD5AC1"/>
    <w:rsid w:val="00AE1856"/>
    <w:rsid w:val="00AE399F"/>
    <w:rsid w:val="00AE4328"/>
    <w:rsid w:val="00AE4C3C"/>
    <w:rsid w:val="00AE6804"/>
    <w:rsid w:val="00AF19AD"/>
    <w:rsid w:val="00AF1ACF"/>
    <w:rsid w:val="00AF1BD0"/>
    <w:rsid w:val="00AF2025"/>
    <w:rsid w:val="00AF3485"/>
    <w:rsid w:val="00AF3EB2"/>
    <w:rsid w:val="00AF6E93"/>
    <w:rsid w:val="00B0104F"/>
    <w:rsid w:val="00B0251F"/>
    <w:rsid w:val="00B03ACF"/>
    <w:rsid w:val="00B1104E"/>
    <w:rsid w:val="00B133DD"/>
    <w:rsid w:val="00B13B50"/>
    <w:rsid w:val="00B1413E"/>
    <w:rsid w:val="00B17017"/>
    <w:rsid w:val="00B17FCF"/>
    <w:rsid w:val="00B24066"/>
    <w:rsid w:val="00B24327"/>
    <w:rsid w:val="00B32828"/>
    <w:rsid w:val="00B330B5"/>
    <w:rsid w:val="00B333FA"/>
    <w:rsid w:val="00B33CF5"/>
    <w:rsid w:val="00B34266"/>
    <w:rsid w:val="00B37C8A"/>
    <w:rsid w:val="00B4297F"/>
    <w:rsid w:val="00B43BAA"/>
    <w:rsid w:val="00B46D0C"/>
    <w:rsid w:val="00B51FF7"/>
    <w:rsid w:val="00B5397C"/>
    <w:rsid w:val="00B56953"/>
    <w:rsid w:val="00B569F5"/>
    <w:rsid w:val="00B56B4E"/>
    <w:rsid w:val="00B576A1"/>
    <w:rsid w:val="00B61CEA"/>
    <w:rsid w:val="00B66043"/>
    <w:rsid w:val="00B700E9"/>
    <w:rsid w:val="00B716DF"/>
    <w:rsid w:val="00B71B15"/>
    <w:rsid w:val="00B76E7F"/>
    <w:rsid w:val="00B77E91"/>
    <w:rsid w:val="00B81959"/>
    <w:rsid w:val="00B83CBA"/>
    <w:rsid w:val="00B85D74"/>
    <w:rsid w:val="00B861DF"/>
    <w:rsid w:val="00B928E3"/>
    <w:rsid w:val="00B938A3"/>
    <w:rsid w:val="00B94157"/>
    <w:rsid w:val="00B969E1"/>
    <w:rsid w:val="00BA17F5"/>
    <w:rsid w:val="00BA19B5"/>
    <w:rsid w:val="00BA48DF"/>
    <w:rsid w:val="00BB23E5"/>
    <w:rsid w:val="00BB6C08"/>
    <w:rsid w:val="00BB7093"/>
    <w:rsid w:val="00BB7B32"/>
    <w:rsid w:val="00BC4775"/>
    <w:rsid w:val="00BC55F3"/>
    <w:rsid w:val="00BC6754"/>
    <w:rsid w:val="00BD04F7"/>
    <w:rsid w:val="00BD3262"/>
    <w:rsid w:val="00BD3ED2"/>
    <w:rsid w:val="00BD55B6"/>
    <w:rsid w:val="00BD7F86"/>
    <w:rsid w:val="00BE2E9E"/>
    <w:rsid w:val="00BE71B1"/>
    <w:rsid w:val="00BF3B36"/>
    <w:rsid w:val="00BF5E9F"/>
    <w:rsid w:val="00BF62BA"/>
    <w:rsid w:val="00BF7E99"/>
    <w:rsid w:val="00C001C8"/>
    <w:rsid w:val="00C00D4F"/>
    <w:rsid w:val="00C026BE"/>
    <w:rsid w:val="00C049D4"/>
    <w:rsid w:val="00C05439"/>
    <w:rsid w:val="00C05951"/>
    <w:rsid w:val="00C066A0"/>
    <w:rsid w:val="00C06E71"/>
    <w:rsid w:val="00C0747E"/>
    <w:rsid w:val="00C101F2"/>
    <w:rsid w:val="00C10D87"/>
    <w:rsid w:val="00C1225B"/>
    <w:rsid w:val="00C129D1"/>
    <w:rsid w:val="00C13221"/>
    <w:rsid w:val="00C13BB0"/>
    <w:rsid w:val="00C13E30"/>
    <w:rsid w:val="00C20197"/>
    <w:rsid w:val="00C21E23"/>
    <w:rsid w:val="00C23DC4"/>
    <w:rsid w:val="00C253E6"/>
    <w:rsid w:val="00C30F76"/>
    <w:rsid w:val="00C4064C"/>
    <w:rsid w:val="00C406CD"/>
    <w:rsid w:val="00C41AF1"/>
    <w:rsid w:val="00C43D30"/>
    <w:rsid w:val="00C4562B"/>
    <w:rsid w:val="00C47973"/>
    <w:rsid w:val="00C513DC"/>
    <w:rsid w:val="00C51D84"/>
    <w:rsid w:val="00C556FC"/>
    <w:rsid w:val="00C55C7F"/>
    <w:rsid w:val="00C564A5"/>
    <w:rsid w:val="00C61917"/>
    <w:rsid w:val="00C620E2"/>
    <w:rsid w:val="00C63B30"/>
    <w:rsid w:val="00C65513"/>
    <w:rsid w:val="00C65718"/>
    <w:rsid w:val="00C65A98"/>
    <w:rsid w:val="00C65DDC"/>
    <w:rsid w:val="00C6698B"/>
    <w:rsid w:val="00C66D86"/>
    <w:rsid w:val="00C66E66"/>
    <w:rsid w:val="00C67268"/>
    <w:rsid w:val="00C6773D"/>
    <w:rsid w:val="00C709C3"/>
    <w:rsid w:val="00C71A6F"/>
    <w:rsid w:val="00C7217E"/>
    <w:rsid w:val="00C724CA"/>
    <w:rsid w:val="00C73EDC"/>
    <w:rsid w:val="00C76824"/>
    <w:rsid w:val="00C808FC"/>
    <w:rsid w:val="00C82209"/>
    <w:rsid w:val="00C82812"/>
    <w:rsid w:val="00C82E04"/>
    <w:rsid w:val="00C830BF"/>
    <w:rsid w:val="00C8371C"/>
    <w:rsid w:val="00C8489C"/>
    <w:rsid w:val="00C84C57"/>
    <w:rsid w:val="00C84F21"/>
    <w:rsid w:val="00C85DDE"/>
    <w:rsid w:val="00C865F6"/>
    <w:rsid w:val="00C873E8"/>
    <w:rsid w:val="00C910BD"/>
    <w:rsid w:val="00C92FA7"/>
    <w:rsid w:val="00C94C83"/>
    <w:rsid w:val="00CA13B4"/>
    <w:rsid w:val="00CA60C9"/>
    <w:rsid w:val="00CB1F5C"/>
    <w:rsid w:val="00CB23F0"/>
    <w:rsid w:val="00CB7023"/>
    <w:rsid w:val="00CC4CCA"/>
    <w:rsid w:val="00CC633A"/>
    <w:rsid w:val="00CC6710"/>
    <w:rsid w:val="00CD0CAF"/>
    <w:rsid w:val="00CE3610"/>
    <w:rsid w:val="00CE73F4"/>
    <w:rsid w:val="00CF13B3"/>
    <w:rsid w:val="00CF472C"/>
    <w:rsid w:val="00D03966"/>
    <w:rsid w:val="00D066BA"/>
    <w:rsid w:val="00D06F34"/>
    <w:rsid w:val="00D139C4"/>
    <w:rsid w:val="00D160A0"/>
    <w:rsid w:val="00D17C78"/>
    <w:rsid w:val="00D20D26"/>
    <w:rsid w:val="00D21D99"/>
    <w:rsid w:val="00D30E7A"/>
    <w:rsid w:val="00D3409B"/>
    <w:rsid w:val="00D404F4"/>
    <w:rsid w:val="00D405BC"/>
    <w:rsid w:val="00D4270C"/>
    <w:rsid w:val="00D4307B"/>
    <w:rsid w:val="00D525FA"/>
    <w:rsid w:val="00D52878"/>
    <w:rsid w:val="00D53021"/>
    <w:rsid w:val="00D535B4"/>
    <w:rsid w:val="00D55413"/>
    <w:rsid w:val="00D55FB5"/>
    <w:rsid w:val="00D674CB"/>
    <w:rsid w:val="00D67C59"/>
    <w:rsid w:val="00D70218"/>
    <w:rsid w:val="00D71D6A"/>
    <w:rsid w:val="00D76107"/>
    <w:rsid w:val="00D76A99"/>
    <w:rsid w:val="00D83904"/>
    <w:rsid w:val="00D84C09"/>
    <w:rsid w:val="00D856E1"/>
    <w:rsid w:val="00D85F6E"/>
    <w:rsid w:val="00D9022F"/>
    <w:rsid w:val="00D908D9"/>
    <w:rsid w:val="00D92924"/>
    <w:rsid w:val="00D9491A"/>
    <w:rsid w:val="00D94C8B"/>
    <w:rsid w:val="00DA00E1"/>
    <w:rsid w:val="00DA0BA6"/>
    <w:rsid w:val="00DA143B"/>
    <w:rsid w:val="00DA2762"/>
    <w:rsid w:val="00DA32AB"/>
    <w:rsid w:val="00DA39FE"/>
    <w:rsid w:val="00DB22B4"/>
    <w:rsid w:val="00DB2921"/>
    <w:rsid w:val="00DB304D"/>
    <w:rsid w:val="00DB4AF8"/>
    <w:rsid w:val="00DB4B8A"/>
    <w:rsid w:val="00DB7DFD"/>
    <w:rsid w:val="00DC0454"/>
    <w:rsid w:val="00DC2245"/>
    <w:rsid w:val="00DC2A6C"/>
    <w:rsid w:val="00DC3B9A"/>
    <w:rsid w:val="00DD29C4"/>
    <w:rsid w:val="00DD39EC"/>
    <w:rsid w:val="00DE0C2E"/>
    <w:rsid w:val="00DE15F1"/>
    <w:rsid w:val="00DE5F2C"/>
    <w:rsid w:val="00DE6386"/>
    <w:rsid w:val="00DE77E6"/>
    <w:rsid w:val="00DF0D3A"/>
    <w:rsid w:val="00DF2E57"/>
    <w:rsid w:val="00DF2F66"/>
    <w:rsid w:val="00DF6C95"/>
    <w:rsid w:val="00DF7F21"/>
    <w:rsid w:val="00E00722"/>
    <w:rsid w:val="00E00A39"/>
    <w:rsid w:val="00E03ECA"/>
    <w:rsid w:val="00E06B14"/>
    <w:rsid w:val="00E07B30"/>
    <w:rsid w:val="00E13425"/>
    <w:rsid w:val="00E146AC"/>
    <w:rsid w:val="00E1480D"/>
    <w:rsid w:val="00E14EB4"/>
    <w:rsid w:val="00E14F86"/>
    <w:rsid w:val="00E15B83"/>
    <w:rsid w:val="00E17DC0"/>
    <w:rsid w:val="00E2022A"/>
    <w:rsid w:val="00E2022F"/>
    <w:rsid w:val="00E20678"/>
    <w:rsid w:val="00E2333B"/>
    <w:rsid w:val="00E2424B"/>
    <w:rsid w:val="00E25EBB"/>
    <w:rsid w:val="00E25F5D"/>
    <w:rsid w:val="00E3454F"/>
    <w:rsid w:val="00E34BB6"/>
    <w:rsid w:val="00E34E07"/>
    <w:rsid w:val="00E40683"/>
    <w:rsid w:val="00E41D25"/>
    <w:rsid w:val="00E41F25"/>
    <w:rsid w:val="00E47003"/>
    <w:rsid w:val="00E5245D"/>
    <w:rsid w:val="00E527FF"/>
    <w:rsid w:val="00E54E99"/>
    <w:rsid w:val="00E54F73"/>
    <w:rsid w:val="00E55756"/>
    <w:rsid w:val="00E564FA"/>
    <w:rsid w:val="00E667BA"/>
    <w:rsid w:val="00E671F3"/>
    <w:rsid w:val="00E7279D"/>
    <w:rsid w:val="00E72DE0"/>
    <w:rsid w:val="00E7728E"/>
    <w:rsid w:val="00E81225"/>
    <w:rsid w:val="00E81C13"/>
    <w:rsid w:val="00E81EC1"/>
    <w:rsid w:val="00E823F6"/>
    <w:rsid w:val="00E846E8"/>
    <w:rsid w:val="00E92611"/>
    <w:rsid w:val="00E93CDA"/>
    <w:rsid w:val="00E95D96"/>
    <w:rsid w:val="00E96112"/>
    <w:rsid w:val="00EA2CF1"/>
    <w:rsid w:val="00EA3B7F"/>
    <w:rsid w:val="00EB25D6"/>
    <w:rsid w:val="00EB3C07"/>
    <w:rsid w:val="00EB7A8B"/>
    <w:rsid w:val="00EC0004"/>
    <w:rsid w:val="00EC0D02"/>
    <w:rsid w:val="00EC2DA2"/>
    <w:rsid w:val="00ED0A9F"/>
    <w:rsid w:val="00ED4C8F"/>
    <w:rsid w:val="00ED68A6"/>
    <w:rsid w:val="00EE1A7C"/>
    <w:rsid w:val="00EE2AF8"/>
    <w:rsid w:val="00EE30AA"/>
    <w:rsid w:val="00EE40F5"/>
    <w:rsid w:val="00EE6500"/>
    <w:rsid w:val="00EE652A"/>
    <w:rsid w:val="00EF19D6"/>
    <w:rsid w:val="00EF3B7F"/>
    <w:rsid w:val="00EF41F0"/>
    <w:rsid w:val="00EF6D79"/>
    <w:rsid w:val="00EF71E3"/>
    <w:rsid w:val="00EF7D2A"/>
    <w:rsid w:val="00F0127C"/>
    <w:rsid w:val="00F02F5E"/>
    <w:rsid w:val="00F042FD"/>
    <w:rsid w:val="00F052D2"/>
    <w:rsid w:val="00F060FD"/>
    <w:rsid w:val="00F06218"/>
    <w:rsid w:val="00F07223"/>
    <w:rsid w:val="00F1283D"/>
    <w:rsid w:val="00F15CA2"/>
    <w:rsid w:val="00F16685"/>
    <w:rsid w:val="00F20822"/>
    <w:rsid w:val="00F23E1D"/>
    <w:rsid w:val="00F2555C"/>
    <w:rsid w:val="00F25771"/>
    <w:rsid w:val="00F26087"/>
    <w:rsid w:val="00F2622F"/>
    <w:rsid w:val="00F32BCC"/>
    <w:rsid w:val="00F337BD"/>
    <w:rsid w:val="00F35309"/>
    <w:rsid w:val="00F35A0D"/>
    <w:rsid w:val="00F35F7C"/>
    <w:rsid w:val="00F36E0E"/>
    <w:rsid w:val="00F37D6B"/>
    <w:rsid w:val="00F40D1B"/>
    <w:rsid w:val="00F4240D"/>
    <w:rsid w:val="00F42F78"/>
    <w:rsid w:val="00F43498"/>
    <w:rsid w:val="00F44002"/>
    <w:rsid w:val="00F45546"/>
    <w:rsid w:val="00F46C3C"/>
    <w:rsid w:val="00F50FD0"/>
    <w:rsid w:val="00F513BB"/>
    <w:rsid w:val="00F550A8"/>
    <w:rsid w:val="00F5549F"/>
    <w:rsid w:val="00F5554C"/>
    <w:rsid w:val="00F560EA"/>
    <w:rsid w:val="00F56128"/>
    <w:rsid w:val="00F62562"/>
    <w:rsid w:val="00F63499"/>
    <w:rsid w:val="00F66878"/>
    <w:rsid w:val="00F6712F"/>
    <w:rsid w:val="00F800DA"/>
    <w:rsid w:val="00F808FE"/>
    <w:rsid w:val="00F81008"/>
    <w:rsid w:val="00F86C64"/>
    <w:rsid w:val="00F91F61"/>
    <w:rsid w:val="00F93AC1"/>
    <w:rsid w:val="00F9619A"/>
    <w:rsid w:val="00F97958"/>
    <w:rsid w:val="00FA0E20"/>
    <w:rsid w:val="00FA0EEB"/>
    <w:rsid w:val="00FA2BD2"/>
    <w:rsid w:val="00FA2DBC"/>
    <w:rsid w:val="00FA350E"/>
    <w:rsid w:val="00FA4E33"/>
    <w:rsid w:val="00FA6AF7"/>
    <w:rsid w:val="00FA7892"/>
    <w:rsid w:val="00FA7A40"/>
    <w:rsid w:val="00FB3645"/>
    <w:rsid w:val="00FB3DF7"/>
    <w:rsid w:val="00FC1D29"/>
    <w:rsid w:val="00FC3420"/>
    <w:rsid w:val="00FC64F9"/>
    <w:rsid w:val="00FD386F"/>
    <w:rsid w:val="00FD43B1"/>
    <w:rsid w:val="00FD4EAF"/>
    <w:rsid w:val="00FD5042"/>
    <w:rsid w:val="00FD57FA"/>
    <w:rsid w:val="00FD5FF6"/>
    <w:rsid w:val="00FE01CD"/>
    <w:rsid w:val="00FE142D"/>
    <w:rsid w:val="00FE146E"/>
    <w:rsid w:val="00FE1674"/>
    <w:rsid w:val="00FE1C94"/>
    <w:rsid w:val="00FE628D"/>
    <w:rsid w:val="00FE71B7"/>
    <w:rsid w:val="00FF0AF3"/>
    <w:rsid w:val="00FF131F"/>
    <w:rsid w:val="00FF27B0"/>
    <w:rsid w:val="00FF2B49"/>
    <w:rsid w:val="00FF4F03"/>
    <w:rsid w:val="00FF6486"/>
    <w:rsid w:val="00FF7258"/>
    <w:rsid w:val="00FF79AB"/>
    <w:rsid w:val="00FF7E9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A8B60A"/>
  <w15:chartTrackingRefBased/>
  <w15:docId w15:val="{4E8D896F-DC11-4B77-B954-509B99551C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22BB"/>
    <w:pPr>
      <w:spacing w:after="200" w:line="276" w:lineRule="auto"/>
    </w:pPr>
    <w:rPr>
      <w:rFonts w:ascii="Calibri" w:eastAsia="Times New Roman" w:hAnsi="Calibri" w:cs="Times New Roman"/>
      <w:lang w:val="es-ES"/>
    </w:rPr>
  </w:style>
  <w:style w:type="paragraph" w:styleId="Ttulo4">
    <w:name w:val="heading 4"/>
    <w:basedOn w:val="Normal"/>
    <w:next w:val="Normal"/>
    <w:link w:val="Ttulo4Car"/>
    <w:uiPriority w:val="9"/>
    <w:unhideWhenUsed/>
    <w:qFormat/>
    <w:rsid w:val="0083320F"/>
    <w:pPr>
      <w:keepNext/>
      <w:spacing w:before="240" w:after="60"/>
      <w:outlineLvl w:val="3"/>
    </w:pPr>
    <w:rPr>
      <w:b/>
      <w:bCs/>
      <w:sz w:val="28"/>
      <w:szCs w:val="28"/>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uiPriority w:val="99"/>
    <w:rsid w:val="00591A74"/>
    <w:pPr>
      <w:spacing w:after="0" w:line="240" w:lineRule="auto"/>
    </w:pPr>
    <w:rPr>
      <w:sz w:val="20"/>
      <w:szCs w:val="20"/>
      <w:lang w:val="es-PE" w:eastAsia="es-ES"/>
    </w:rPr>
  </w:style>
  <w:style w:type="character" w:customStyle="1" w:styleId="TextonotapieCar">
    <w:name w:val="Texto nota pie Car"/>
    <w:basedOn w:val="Fuentedeprrafopredeter"/>
    <w:link w:val="Textonotapie"/>
    <w:uiPriority w:val="99"/>
    <w:rsid w:val="00591A74"/>
    <w:rPr>
      <w:rFonts w:ascii="Calibri" w:eastAsia="Times New Roman" w:hAnsi="Calibri" w:cs="Times New Roman"/>
      <w:sz w:val="20"/>
      <w:szCs w:val="20"/>
      <w:lang w:eastAsia="es-ES"/>
    </w:rPr>
  </w:style>
  <w:style w:type="character" w:styleId="Refdenotaalpie">
    <w:name w:val="footnote reference"/>
    <w:aliases w:val="Ref,de nota al pie"/>
    <w:uiPriority w:val="99"/>
    <w:rsid w:val="00591A74"/>
    <w:rPr>
      <w:vertAlign w:val="superscript"/>
    </w:rPr>
  </w:style>
  <w:style w:type="character" w:customStyle="1" w:styleId="Referenciaintensa1">
    <w:name w:val="Referencia intensa1"/>
    <w:uiPriority w:val="32"/>
    <w:qFormat/>
    <w:rsid w:val="00591A74"/>
    <w:rPr>
      <w:b/>
      <w:bCs/>
      <w:smallCaps/>
      <w:color w:val="C0504D"/>
      <w:spacing w:val="5"/>
      <w:u w:val="single"/>
    </w:rPr>
  </w:style>
  <w:style w:type="character" w:styleId="Referenciaintensa">
    <w:name w:val="Intense Reference"/>
    <w:uiPriority w:val="32"/>
    <w:qFormat/>
    <w:rsid w:val="00591A74"/>
    <w:rPr>
      <w:b/>
      <w:bCs/>
      <w:smallCaps/>
      <w:color w:val="4472C4"/>
      <w:spacing w:val="5"/>
    </w:rPr>
  </w:style>
  <w:style w:type="paragraph" w:styleId="Prrafodelista">
    <w:name w:val="List Paragraph"/>
    <w:basedOn w:val="Normal"/>
    <w:uiPriority w:val="34"/>
    <w:qFormat/>
    <w:rsid w:val="0067196A"/>
    <w:pPr>
      <w:ind w:left="720"/>
      <w:contextualSpacing/>
    </w:pPr>
  </w:style>
  <w:style w:type="paragraph" w:styleId="Sinespaciado">
    <w:name w:val="No Spacing"/>
    <w:uiPriority w:val="1"/>
    <w:qFormat/>
    <w:rsid w:val="00BA48DF"/>
    <w:pPr>
      <w:spacing w:after="0" w:line="240" w:lineRule="auto"/>
    </w:pPr>
    <w:rPr>
      <w:rFonts w:ascii="Calibri" w:eastAsia="Times New Roman" w:hAnsi="Calibri" w:cs="Times New Roman"/>
      <w:lang w:val="es-ES"/>
    </w:rPr>
  </w:style>
  <w:style w:type="character" w:styleId="Hipervnculo">
    <w:name w:val="Hyperlink"/>
    <w:basedOn w:val="Fuentedeprrafopredeter"/>
    <w:uiPriority w:val="99"/>
    <w:semiHidden/>
    <w:unhideWhenUsed/>
    <w:rsid w:val="00804F56"/>
    <w:rPr>
      <w:color w:val="0000FF"/>
      <w:u w:val="single"/>
    </w:rPr>
  </w:style>
  <w:style w:type="paragraph" w:styleId="Encabezado">
    <w:name w:val="header"/>
    <w:basedOn w:val="Normal"/>
    <w:link w:val="EncabezadoCar"/>
    <w:uiPriority w:val="99"/>
    <w:unhideWhenUsed/>
    <w:rsid w:val="00F9619A"/>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F9619A"/>
    <w:rPr>
      <w:rFonts w:ascii="Calibri" w:eastAsia="Times New Roman" w:hAnsi="Calibri" w:cs="Times New Roman"/>
      <w:lang w:val="es-ES"/>
    </w:rPr>
  </w:style>
  <w:style w:type="paragraph" w:styleId="Piedepgina">
    <w:name w:val="footer"/>
    <w:basedOn w:val="Normal"/>
    <w:link w:val="PiedepginaCar"/>
    <w:uiPriority w:val="99"/>
    <w:unhideWhenUsed/>
    <w:rsid w:val="00F9619A"/>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9619A"/>
    <w:rPr>
      <w:rFonts w:ascii="Calibri" w:eastAsia="Times New Roman" w:hAnsi="Calibri" w:cs="Times New Roman"/>
      <w:lang w:val="es-ES"/>
    </w:rPr>
  </w:style>
  <w:style w:type="paragraph" w:styleId="Lista2">
    <w:name w:val="List 2"/>
    <w:basedOn w:val="Normal"/>
    <w:uiPriority w:val="99"/>
    <w:unhideWhenUsed/>
    <w:rsid w:val="00E03ECA"/>
    <w:pPr>
      <w:ind w:left="566" w:hanging="283"/>
      <w:contextualSpacing/>
    </w:pPr>
    <w:rPr>
      <w:lang w:val="es-PE"/>
    </w:rPr>
  </w:style>
  <w:style w:type="character" w:customStyle="1" w:styleId="Ttulo4Car">
    <w:name w:val="Título 4 Car"/>
    <w:basedOn w:val="Fuentedeprrafopredeter"/>
    <w:link w:val="Ttulo4"/>
    <w:uiPriority w:val="9"/>
    <w:rsid w:val="0083320F"/>
    <w:rPr>
      <w:rFonts w:ascii="Calibri" w:eastAsia="Times New Roman" w:hAnsi="Calibri" w:cs="Times New Roman"/>
      <w:b/>
      <w:bCs/>
      <w:sz w:val="28"/>
      <w:szCs w:val="28"/>
      <w:lang w:val="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6B458A-FDBC-4F3B-8832-DF584EF7F1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282</TotalTime>
  <Pages>9</Pages>
  <Words>4967</Words>
  <Characters>27320</Characters>
  <Application>Microsoft Office Word</Application>
  <DocSecurity>0</DocSecurity>
  <Lines>227</Lines>
  <Paragraphs>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IVAN GOMEZ TORRES</dc:creator>
  <cp:keywords/>
  <dc:description/>
  <cp:lastModifiedBy>365 Pro Plus</cp:lastModifiedBy>
  <cp:revision>14</cp:revision>
  <dcterms:created xsi:type="dcterms:W3CDTF">2020-08-26T21:59:00Z</dcterms:created>
  <dcterms:modified xsi:type="dcterms:W3CDTF">2020-08-28T23:35:00Z</dcterms:modified>
</cp:coreProperties>
</file>